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DEC6E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8F9FA"/>
        <w:bidi w:val="0"/>
        <w:spacing w:line="540" w:lineRule="atLeast"/>
        <w:ind w:left="0" w:right="0" w:firstLine="0"/>
        <w:jc w:val="left"/>
        <w:rPr>
          <w:rFonts w:hint="default" w:ascii="Calibri" w:hAnsi="Calibri" w:cs="Calibri"/>
          <w:i w:val="0"/>
          <w:iCs w:val="0"/>
          <w:caps w:val="0"/>
          <w:color w:val="1F1F1F"/>
          <w:spacing w:val="0"/>
          <w:sz w:val="24"/>
          <w:szCs w:val="24"/>
          <w:shd w:val="clear" w:fill="F8F9FA"/>
          <w:lang w:val="en-US"/>
        </w:rPr>
      </w:pPr>
      <w:r>
        <w:rPr>
          <w:rFonts w:hint="default" w:ascii="Calibri" w:hAnsi="Calibri" w:cs="Calibri"/>
          <w:i w:val="0"/>
          <w:iCs w:val="0"/>
          <w:caps w:val="0"/>
          <w:color w:val="1F1F1F"/>
          <w:spacing w:val="0"/>
          <w:sz w:val="24"/>
          <w:szCs w:val="24"/>
          <w:shd w:val="clear" w:fill="F8F9FA"/>
          <w:lang w:val="en-US"/>
        </w:rPr>
        <w:t>To investigate the prevalence of ear, nose, and throat symptoms in patients with COVID-19 and determine the relationship between these symptoms and the severity of the disease</w:t>
      </w:r>
    </w:p>
    <w:p w14:paraId="1255D25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8F9FA"/>
        <w:bidi w:val="0"/>
        <w:spacing w:line="540" w:lineRule="atLeast"/>
        <w:ind w:left="0" w:right="0" w:firstLine="0"/>
        <w:jc w:val="left"/>
        <w:rPr>
          <w:rFonts w:hint="default" w:ascii="Calibri" w:hAnsi="Calibri" w:cs="Calibri"/>
          <w:i w:val="0"/>
          <w:iCs w:val="0"/>
          <w:caps w:val="0"/>
          <w:color w:val="1F1F1F"/>
          <w:spacing w:val="0"/>
          <w:sz w:val="24"/>
          <w:szCs w:val="24"/>
          <w:shd w:val="clear" w:fill="F8F9FA"/>
          <w:lang w:val="en-US"/>
        </w:rPr>
      </w:pPr>
    </w:p>
    <w:p w14:paraId="5C1F03E9">
      <w:pPr>
        <w:keepNext w:val="0"/>
        <w:keepLines w:val="0"/>
        <w:widowControl/>
        <w:suppressLineNumbers w:val="0"/>
        <w:jc w:val="left"/>
        <w:rPr>
          <w:rFonts w:hint="default" w:asciiTheme="majorAscii" w:hAnsiTheme="majorAscii"/>
          <w:sz w:val="24"/>
          <w:szCs w:val="24"/>
          <w:lang w:val="en-US"/>
        </w:rPr>
      </w:pPr>
      <w:r>
        <w:rPr>
          <w:rFonts w:ascii="CIDFont" w:hAnsi="CIDFont" w:eastAsia="CIDFont" w:cs="CIDFont"/>
          <w:b/>
          <w:bCs/>
          <w:i/>
          <w:iCs/>
          <w:color w:val="000000"/>
          <w:kern w:val="0"/>
          <w:sz w:val="24"/>
          <w:szCs w:val="24"/>
          <w:lang w:val="en-US" w:eastAsia="zh-CN" w:bidi="ar"/>
        </w:rPr>
        <w:t xml:space="preserve"> </w:t>
      </w:r>
      <w:r>
        <w:rPr>
          <w:rFonts w:hint="default" w:eastAsia="CIDFont" w:cs="CIDFont" w:asciiTheme="majorAscii" w:hAnsiTheme="majorAscii"/>
          <w:b/>
          <w:bCs/>
          <w:i/>
          <w:iCs/>
          <w:color w:val="000000"/>
          <w:kern w:val="0"/>
          <w:sz w:val="24"/>
          <w:szCs w:val="24"/>
          <w:lang w:val="en-US" w:eastAsia="zh-CN" w:bidi="ar"/>
        </w:rPr>
        <w:t xml:space="preserve"> Sahar Shadvar</w:t>
      </w:r>
      <w:r>
        <w:rPr>
          <w:rFonts w:hint="default" w:ascii="Calibri Light" w:hAnsi="Calibri Light" w:eastAsia="CIDFont" w:cs="Calibri Light"/>
          <w:b/>
          <w:bCs/>
          <w:i/>
          <w:iCs/>
          <w:color w:val="000000"/>
          <w:kern w:val="0"/>
          <w:sz w:val="24"/>
          <w:szCs w:val="24"/>
          <w:lang w:val="en-US" w:eastAsia="zh-CN" w:bidi="ar"/>
        </w:rPr>
        <w:t>¹</w:t>
      </w:r>
      <w:r>
        <w:rPr>
          <w:rFonts w:hint="default" w:eastAsia="CIDFont" w:cs="CIDFont" w:asciiTheme="majorAscii" w:hAnsiTheme="majorAscii"/>
          <w:b/>
          <w:bCs/>
          <w:i/>
          <w:iCs/>
          <w:color w:val="000000"/>
          <w:kern w:val="0"/>
          <w:sz w:val="24"/>
          <w:szCs w:val="24"/>
          <w:lang w:val="en-US" w:eastAsia="zh-CN" w:bidi="ar"/>
        </w:rPr>
        <w:t xml:space="preserve"> Mehrangiz Zanganeh</w:t>
      </w:r>
      <w:r>
        <w:rPr>
          <w:rFonts w:hint="default" w:ascii="Calibri Light" w:hAnsi="Calibri Light" w:eastAsia="CIDFont" w:cs="Calibri Light"/>
          <w:b/>
          <w:bCs/>
          <w:i/>
          <w:iCs/>
          <w:color w:val="000000"/>
          <w:kern w:val="0"/>
          <w:sz w:val="24"/>
          <w:szCs w:val="24"/>
          <w:lang w:val="en-US" w:eastAsia="zh-CN" w:bidi="ar"/>
        </w:rPr>
        <w:t>³</w:t>
      </w:r>
      <w:r>
        <w:rPr>
          <w:rFonts w:hint="default" w:eastAsia="CIDFont" w:cs="CIDFont" w:asciiTheme="majorAscii" w:hAnsiTheme="majorAscii"/>
          <w:b/>
          <w:bCs/>
          <w:i/>
          <w:iCs/>
          <w:color w:val="000000"/>
          <w:kern w:val="0"/>
          <w:sz w:val="24"/>
          <w:szCs w:val="24"/>
          <w:lang w:val="en-US" w:eastAsia="zh-CN" w:bidi="ar"/>
        </w:rPr>
        <w:t xml:space="preserve"> , Ali Torabi</w:t>
      </w:r>
      <w:r>
        <w:rPr>
          <w:rFonts w:hint="default" w:ascii="Calibri" w:hAnsi="Calibri" w:eastAsia="CIDFont" w:cs="Calibri"/>
          <w:b/>
          <w:bCs/>
          <w:i/>
          <w:iCs/>
          <w:color w:val="000000"/>
          <w:kern w:val="0"/>
          <w:sz w:val="24"/>
          <w:szCs w:val="24"/>
          <w:lang w:val="en-US" w:eastAsia="zh-CN" w:bidi="ar"/>
        </w:rPr>
        <w:t>²</w:t>
      </w:r>
      <w:r>
        <w:rPr>
          <w:rFonts w:hint="default" w:eastAsia="CIDFont" w:cs="CIDFont" w:asciiTheme="majorAscii" w:hAnsiTheme="majorAscii"/>
          <w:b/>
          <w:bCs/>
          <w:i/>
          <w:iCs/>
          <w:color w:val="000000"/>
          <w:kern w:val="0"/>
          <w:sz w:val="24"/>
          <w:szCs w:val="24"/>
          <w:lang w:val="en-US" w:eastAsia="zh-CN" w:bidi="ar"/>
        </w:rPr>
        <w:t xml:space="preserve"> Masoume Mesgarian¹,</w:t>
      </w:r>
    </w:p>
    <w:p w14:paraId="5FE18ECF">
      <w:pPr>
        <w:keepNext w:val="0"/>
        <w:keepLines w:val="0"/>
        <w:widowControl/>
        <w:suppressLineNumbers w:val="0"/>
        <w:jc w:val="left"/>
        <w:rPr>
          <w:rFonts w:hint="default" w:asciiTheme="majorAscii" w:hAnsiTheme="majorAscii"/>
        </w:rPr>
      </w:pPr>
      <w:r>
        <w:rPr>
          <w:rFonts w:hint="default" w:eastAsia="CIDFont" w:cs="CIDFont" w:asciiTheme="majorAscii" w:hAnsiTheme="majorAscii"/>
          <w:i/>
          <w:iCs/>
          <w:color w:val="000000"/>
          <w:kern w:val="0"/>
          <w:sz w:val="12"/>
          <w:szCs w:val="12"/>
          <w:lang w:val="en-US" w:eastAsia="zh-CN" w:bidi="ar"/>
        </w:rPr>
        <w:t xml:space="preserve">1 </w:t>
      </w:r>
      <w:r>
        <w:rPr>
          <w:rFonts w:hint="default" w:eastAsia="CIDFont" w:cs="CIDFont" w:asciiTheme="majorAscii" w:hAnsiTheme="majorAscii"/>
          <w:i/>
          <w:iCs/>
          <w:color w:val="000000"/>
          <w:kern w:val="0"/>
          <w:sz w:val="18"/>
          <w:szCs w:val="18"/>
          <w:lang w:val="en-US" w:eastAsia="zh-CN" w:bidi="ar"/>
        </w:rPr>
        <w:t xml:space="preserve">Department of Infectious Diseases, Amirul Mominin Hospital, Faculty of Medicine, Tehran Medical Sciences, Islamic </w:t>
      </w:r>
    </w:p>
    <w:p w14:paraId="20C196C6">
      <w:pPr>
        <w:keepNext w:val="0"/>
        <w:keepLines w:val="0"/>
        <w:widowControl/>
        <w:suppressLineNumbers w:val="0"/>
        <w:jc w:val="left"/>
        <w:rPr>
          <w:rFonts w:hint="default" w:asciiTheme="majorAscii" w:hAnsiTheme="majorAscii"/>
        </w:rPr>
      </w:pPr>
      <w:r>
        <w:rPr>
          <w:rFonts w:hint="default" w:eastAsia="CIDFont" w:cs="CIDFont" w:asciiTheme="majorAscii" w:hAnsiTheme="majorAscii"/>
          <w:i/>
          <w:iCs/>
          <w:color w:val="000000"/>
          <w:kern w:val="0"/>
          <w:sz w:val="18"/>
          <w:szCs w:val="18"/>
          <w:lang w:val="en-US" w:eastAsia="zh-CN" w:bidi="ar"/>
        </w:rPr>
        <w:t xml:space="preserve">Azad University, Tehran, Iran </w:t>
      </w:r>
    </w:p>
    <w:p w14:paraId="3BFBCB03">
      <w:pPr>
        <w:keepNext w:val="0"/>
        <w:keepLines w:val="0"/>
        <w:widowControl/>
        <w:suppressLineNumbers w:val="0"/>
        <w:jc w:val="left"/>
        <w:rPr>
          <w:rFonts w:hint="default" w:asciiTheme="majorAscii" w:hAnsiTheme="majorAscii"/>
        </w:rPr>
      </w:pPr>
      <w:r>
        <w:rPr>
          <w:rFonts w:hint="default" w:eastAsia="CIDFont" w:cs="CIDFont" w:asciiTheme="majorAscii" w:hAnsiTheme="majorAscii"/>
          <w:i/>
          <w:iCs/>
          <w:color w:val="000000"/>
          <w:kern w:val="0"/>
          <w:sz w:val="12"/>
          <w:szCs w:val="12"/>
          <w:lang w:val="en-US" w:eastAsia="zh-CN" w:bidi="ar"/>
        </w:rPr>
        <w:t>2</w:t>
      </w:r>
      <w:r>
        <w:rPr>
          <w:rFonts w:hint="default" w:eastAsia="CIDFont" w:cs="CIDFont" w:asciiTheme="majorAscii" w:hAnsiTheme="majorAscii"/>
          <w:i/>
          <w:iCs/>
          <w:color w:val="000000"/>
          <w:kern w:val="0"/>
          <w:sz w:val="18"/>
          <w:szCs w:val="18"/>
          <w:lang w:val="en-US" w:eastAsia="zh-CN" w:bidi="ar"/>
        </w:rPr>
        <w:t xml:space="preserve">Department of Infectious Diseases, Amirul Mominin Hospital, School of Medicine, Tehran Medical Sciences, Islamic Azad </w:t>
      </w:r>
    </w:p>
    <w:p w14:paraId="6D8DC718">
      <w:pPr>
        <w:keepNext w:val="0"/>
        <w:keepLines w:val="0"/>
        <w:widowControl/>
        <w:suppressLineNumbers w:val="0"/>
        <w:jc w:val="left"/>
        <w:rPr>
          <w:rFonts w:hint="default" w:asciiTheme="majorAscii" w:hAnsiTheme="majorAscii"/>
        </w:rPr>
      </w:pPr>
      <w:r>
        <w:rPr>
          <w:rFonts w:hint="default" w:eastAsia="CIDFont" w:cs="CIDFont" w:asciiTheme="majorAscii" w:hAnsiTheme="majorAscii"/>
          <w:i/>
          <w:iCs/>
          <w:color w:val="000000"/>
          <w:kern w:val="0"/>
          <w:sz w:val="18"/>
          <w:szCs w:val="18"/>
          <w:lang w:val="en-US" w:eastAsia="zh-CN" w:bidi="ar"/>
        </w:rPr>
        <w:t xml:space="preserve">University, Tehran, Iran </w:t>
      </w:r>
    </w:p>
    <w:p w14:paraId="17E8F731">
      <w:pPr>
        <w:keepNext w:val="0"/>
        <w:keepLines w:val="0"/>
        <w:widowControl/>
        <w:suppressLineNumbers w:val="0"/>
        <w:jc w:val="left"/>
        <w:rPr>
          <w:rFonts w:hint="default" w:asciiTheme="majorAscii" w:hAnsiTheme="majorAscii"/>
        </w:rPr>
      </w:pPr>
      <w:r>
        <w:rPr>
          <w:rFonts w:hint="default" w:eastAsia="CIDFont" w:cs="CIDFont" w:asciiTheme="majorAscii" w:hAnsiTheme="majorAscii"/>
          <w:i/>
          <w:iCs/>
          <w:color w:val="000000"/>
          <w:kern w:val="0"/>
          <w:sz w:val="12"/>
          <w:szCs w:val="12"/>
          <w:lang w:val="en-US" w:eastAsia="zh-CN" w:bidi="ar"/>
        </w:rPr>
        <w:t>3</w:t>
      </w:r>
      <w:r>
        <w:rPr>
          <w:rFonts w:hint="default" w:eastAsia="CIDFont" w:cs="CIDFont" w:asciiTheme="majorAscii" w:hAnsiTheme="majorAscii"/>
          <w:i/>
          <w:iCs/>
          <w:color w:val="000000"/>
          <w:kern w:val="0"/>
          <w:sz w:val="18"/>
          <w:szCs w:val="18"/>
          <w:lang w:val="en-US" w:eastAsia="zh-CN" w:bidi="ar"/>
        </w:rPr>
        <w:t>Department of Infectious Diseases, Amirul Mominin Hospital, School of Medicine, Tehran Medical Sciences, Islamic Azad University, Tehran, Iran</w:t>
      </w:r>
    </w:p>
    <w:p w14:paraId="6FDF862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8F9FA"/>
        <w:bidi w:val="0"/>
        <w:spacing w:line="540" w:lineRule="atLeast"/>
        <w:ind w:left="0" w:right="0" w:firstLine="0"/>
        <w:jc w:val="left"/>
        <w:rPr>
          <w:rFonts w:hint="default" w:ascii="Calibri" w:hAnsi="Calibri" w:cs="Calibri"/>
          <w:i w:val="0"/>
          <w:iCs w:val="0"/>
          <w:caps w:val="0"/>
          <w:color w:val="1F1F1F"/>
          <w:spacing w:val="0"/>
          <w:sz w:val="28"/>
          <w:szCs w:val="28"/>
          <w:shd w:val="clear" w:fill="F8F9FA"/>
          <w:lang w:val="en-US"/>
        </w:rPr>
      </w:pPr>
    </w:p>
    <w:p w14:paraId="78BC4B63">
      <w:pPr>
        <w:bidi/>
        <w:spacing w:line="360" w:lineRule="auto"/>
        <w:jc w:val="left"/>
        <w:rPr>
          <w:rFonts w:hint="default" w:ascii="Times New Roman" w:hAnsi="Times New Roman" w:cs="B Nazanin"/>
          <w:b/>
          <w:bCs/>
          <w:sz w:val="28"/>
          <w:szCs w:val="28"/>
          <w:rtl/>
          <w:lang w:val="en-US"/>
        </w:rPr>
      </w:pPr>
    </w:p>
    <w:p w14:paraId="7D15ECC3">
      <w:pPr>
        <w:keepNext w:val="0"/>
        <w:keepLines w:val="0"/>
        <w:widowControl/>
        <w:suppressLineNumbers w:val="0"/>
        <w:shd w:val="clear"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540" w:lineRule="atLeast"/>
        <w:ind w:left="0" w:right="0"/>
        <w:jc w:val="left"/>
        <w:rPr>
          <w:rFonts w:hint="default" w:eastAsia="serif" w:cs="Courier New" w:asciiTheme="minorAscii" w:hAnsiTheme="minorAscii"/>
          <w:color w:val="1F1F1F"/>
          <w:kern w:val="0"/>
          <w:sz w:val="28"/>
          <w:szCs w:val="28"/>
          <w:shd w:val="clear" w:fill="F8F9FA"/>
          <w:lang w:val="en-US" w:eastAsia="zh-CN" w:bidi="ar"/>
        </w:rPr>
      </w:pPr>
      <w:r>
        <w:rPr>
          <w:rFonts w:hint="default" w:eastAsia="serif" w:cs="Courier New" w:asciiTheme="minorAscii" w:hAnsiTheme="minorAscii"/>
          <w:color w:val="1F1F1F"/>
          <w:kern w:val="0"/>
          <w:sz w:val="28"/>
          <w:szCs w:val="28"/>
          <w:shd w:val="clear" w:fill="F8F9FA"/>
          <w:lang w:val="en-US" w:eastAsia="zh-CN" w:bidi="ar"/>
        </w:rPr>
        <w:t>abstract</w:t>
      </w:r>
    </w:p>
    <w:p w14:paraId="4AC3BE35">
      <w:pPr>
        <w:keepNext w:val="0"/>
        <w:keepLines w:val="0"/>
        <w:widowControl/>
        <w:suppressLineNumbers w:val="0"/>
        <w:shd w:val="clear"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540" w:lineRule="atLeast"/>
        <w:ind w:left="0" w:right="0"/>
        <w:jc w:val="left"/>
        <w:rPr>
          <w:rFonts w:hint="default" w:cs="Courier New" w:asciiTheme="minorAscii" w:hAnsiTheme="minorAscii"/>
          <w:color w:val="1F1F1F"/>
          <w:sz w:val="28"/>
          <w:szCs w:val="28"/>
          <w:shd w:val="clear" w:fill="F8F9FA"/>
          <w:rtl/>
          <w:lang w:val="en-US" w:bidi="ar"/>
        </w:rPr>
      </w:pPr>
      <w:r>
        <w:rPr>
          <w:rFonts w:hint="default" w:eastAsia="serif" w:cs="Courier New" w:asciiTheme="minorAscii" w:hAnsiTheme="minorAscii"/>
          <w:color w:val="1F1F1F"/>
          <w:kern w:val="0"/>
          <w:sz w:val="28"/>
          <w:szCs w:val="28"/>
          <w:shd w:val="clear" w:fill="F8F9FA"/>
          <w:lang w:val="en-US" w:eastAsia="zh-CN" w:bidi="ar"/>
        </w:rPr>
        <w:t>Introduction: The coronavirus, which causes COVID-19 disease, has become a global pandemic since its initial outbreak in December 2019, affecting millions of people worldwide. The disease primarily affects the respiratory system, but recent studies have shown that extrarespiratory symptoms, including ENT involvement, are also seen in many patients</w:t>
      </w:r>
      <w:r>
        <w:rPr>
          <w:rFonts w:hint="default" w:eastAsia="Times New Roman" w:cs="Courier New" w:asciiTheme="minorAscii" w:hAnsiTheme="minorAscii"/>
          <w:color w:val="1F1F1F"/>
          <w:kern w:val="0"/>
          <w:sz w:val="28"/>
          <w:szCs w:val="28"/>
          <w:shd w:val="clear" w:fill="F8F9FA"/>
          <w:rtl/>
          <w:lang w:val="en-US" w:eastAsia="zh-CN" w:bidi="ar"/>
        </w:rPr>
        <w:t>.</w:t>
      </w:r>
    </w:p>
    <w:p w14:paraId="68DB6095">
      <w:pPr>
        <w:keepNext w:val="0"/>
        <w:keepLines w:val="0"/>
        <w:widowControl/>
        <w:suppressLineNumbers w:val="0"/>
        <w:shd w:val="clear"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540" w:lineRule="atLeast"/>
        <w:ind w:left="0" w:right="0"/>
        <w:jc w:val="left"/>
        <w:rPr>
          <w:rFonts w:hint="default" w:eastAsia="serif" w:cs="Courier New" w:asciiTheme="minorAscii" w:hAnsiTheme="minorAscii"/>
          <w:color w:val="1F1F1F"/>
          <w:sz w:val="28"/>
          <w:szCs w:val="28"/>
          <w:shd w:val="clear" w:fill="F8F9FA"/>
          <w:lang w:val="en-US"/>
        </w:rPr>
      </w:pPr>
      <w:r>
        <w:rPr>
          <w:rFonts w:hint="default" w:eastAsia="serif" w:cs="Courier New" w:asciiTheme="minorAscii" w:hAnsiTheme="minorAscii"/>
          <w:color w:val="1F1F1F"/>
          <w:kern w:val="0"/>
          <w:sz w:val="28"/>
          <w:szCs w:val="28"/>
          <w:shd w:val="clear" w:fill="F8F9FA"/>
          <w:lang w:val="en-US" w:eastAsia="zh-CN" w:bidi="ar"/>
        </w:rPr>
        <w:t>Objective: To investigate the prevalence of ENT symptoms in patients with COVID-19 and determine the relationship of these symptoms to the severity of the disease</w:t>
      </w:r>
    </w:p>
    <w:p w14:paraId="2A99D1AE">
      <w:pPr>
        <w:keepNext w:val="0"/>
        <w:keepLines w:val="0"/>
        <w:widowControl/>
        <w:suppressLineNumbers w:val="0"/>
        <w:shd w:val="clear"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540" w:lineRule="atLeast"/>
        <w:ind w:left="0" w:right="0"/>
        <w:jc w:val="left"/>
        <w:rPr>
          <w:rFonts w:hint="default" w:eastAsia="serif" w:cs="Courier New" w:asciiTheme="minorAscii" w:hAnsiTheme="minorAscii"/>
          <w:color w:val="1F1F1F"/>
          <w:kern w:val="0"/>
          <w:sz w:val="28"/>
          <w:szCs w:val="28"/>
          <w:shd w:val="clear" w:fill="F8F9FA"/>
          <w:lang w:val="en-US" w:eastAsia="zh-CN" w:bidi="ar"/>
        </w:rPr>
      </w:pPr>
      <w:r>
        <w:rPr>
          <w:rFonts w:hint="default" w:eastAsia="serif" w:cs="Courier New" w:asciiTheme="minorAscii" w:hAnsiTheme="minorAscii"/>
          <w:color w:val="1F1F1F"/>
          <w:kern w:val="0"/>
          <w:sz w:val="28"/>
          <w:szCs w:val="28"/>
          <w:shd w:val="clear" w:fill="F8F9FA"/>
          <w:lang w:val="en-US" w:eastAsia="zh-CN" w:bidi="ar"/>
        </w:rPr>
        <w:t>Materials and Methods: In this retrospective study, patients with COVID-19 disease hospitalized in hospitals affiliated with Islamic Azad University were studied from the beginning of 2019 to the end of 2020. After applying the inclusion and exclusion criteria, 197 patients were included in the study, and demographic information (age, gender, etc.) and ENT symptoms were extracted from the files and recorded in the data collection form. A significance level of less than 0.05 was considered.</w:t>
      </w:r>
    </w:p>
    <w:p w14:paraId="2FA74B25">
      <w:pPr>
        <w:keepNext w:val="0"/>
        <w:keepLines w:val="0"/>
        <w:widowControl/>
        <w:suppressLineNumbers w:val="0"/>
        <w:shd w:val="clear"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540" w:lineRule="atLeast"/>
        <w:ind w:left="0" w:right="0"/>
        <w:jc w:val="left"/>
        <w:rPr>
          <w:rFonts w:hint="default" w:eastAsia="serif" w:cs="Courier New" w:asciiTheme="minorAscii" w:hAnsiTheme="minorAscii"/>
          <w:color w:val="1F1F1F"/>
          <w:sz w:val="28"/>
          <w:szCs w:val="28"/>
          <w:shd w:val="clear" w:fill="F8F9FA"/>
          <w:lang w:val="en-US"/>
        </w:rPr>
      </w:pPr>
      <w:r>
        <w:rPr>
          <w:rFonts w:hint="default" w:eastAsia="serif" w:cs="Courier New" w:asciiTheme="minorAscii" w:hAnsiTheme="minorAscii"/>
          <w:color w:val="1F1F1F"/>
          <w:kern w:val="0"/>
          <w:sz w:val="28"/>
          <w:szCs w:val="28"/>
          <w:shd w:val="clear" w:fill="F8F9FA"/>
          <w:lang w:val="en-US" w:eastAsia="zh-CN" w:bidi="ar"/>
        </w:rPr>
        <w:t>Results: The most common symptom was cough, which was observed in 56.9% of patients.</w:t>
      </w:r>
    </w:p>
    <w:p w14:paraId="3C936D27">
      <w:pPr>
        <w:keepNext w:val="0"/>
        <w:keepLines w:val="0"/>
        <w:widowControl/>
        <w:suppressLineNumbers w:val="0"/>
        <w:shd w:val="clear"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540" w:lineRule="atLeast"/>
        <w:ind w:left="0" w:right="0"/>
        <w:jc w:val="left"/>
        <w:rPr>
          <w:rFonts w:hint="default" w:eastAsia="serif" w:cs="Courier New" w:asciiTheme="minorAscii" w:hAnsiTheme="minorAscii"/>
          <w:color w:val="1F1F1F"/>
          <w:sz w:val="28"/>
          <w:szCs w:val="28"/>
          <w:shd w:val="clear" w:fill="F8F9FA"/>
          <w:lang w:val="en-US"/>
        </w:rPr>
      </w:pPr>
      <w:r>
        <w:rPr>
          <w:rFonts w:hint="default" w:eastAsia="serif" w:cs="Courier New" w:asciiTheme="minorAscii" w:hAnsiTheme="minorAscii"/>
          <w:color w:val="1F1F1F"/>
          <w:kern w:val="0"/>
          <w:sz w:val="28"/>
          <w:szCs w:val="28"/>
          <w:shd w:val="clear" w:fill="F8F9FA"/>
          <w:lang w:val="en-US" w:eastAsia="zh-CN" w:bidi="ar"/>
        </w:rPr>
        <w:t>Other symptoms included (decreased sense of smell)</w:t>
      </w:r>
      <w:r>
        <w:rPr>
          <w:rFonts w:hint="default" w:eastAsia="Times New Roman" w:cs="Courier New" w:asciiTheme="minorAscii" w:hAnsiTheme="minorAscii"/>
          <w:color w:val="1F1F1F"/>
          <w:kern w:val="0"/>
          <w:sz w:val="28"/>
          <w:szCs w:val="28"/>
          <w:shd w:val="clear" w:fill="F8F9FA"/>
          <w:rtl/>
          <w:lang w:val="en-US" w:eastAsia="zh-CN" w:bidi="ar"/>
        </w:rPr>
        <w:t>10.2</w:t>
      </w:r>
      <w:r>
        <w:rPr>
          <w:rFonts w:hint="default" w:eastAsia="serif" w:cs="Courier New" w:asciiTheme="minorAscii" w:hAnsiTheme="minorAscii"/>
          <w:color w:val="1F1F1F"/>
          <w:kern w:val="0"/>
          <w:sz w:val="28"/>
          <w:szCs w:val="28"/>
          <w:shd w:val="clear" w:fill="F8F9FA"/>
          <w:lang w:val="en-US" w:eastAsia="zh-CN" w:bidi="ar"/>
        </w:rPr>
        <w:t>%, sore throat7.6%, decreased sense of taste7.6%, tinnitus3%, runny nose5.1%, hoarseness1%, itchy throat0.5%, and other symptoms</w:t>
      </w:r>
    </w:p>
    <w:p w14:paraId="13CBD275">
      <w:pPr>
        <w:keepNext w:val="0"/>
        <w:keepLines w:val="0"/>
        <w:widowControl/>
        <w:suppressLineNumbers w:val="0"/>
        <w:shd w:val="clear"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540" w:lineRule="atLeast"/>
        <w:ind w:left="0" w:right="0"/>
        <w:jc w:val="left"/>
        <w:rPr>
          <w:rFonts w:hint="default" w:eastAsia="serif" w:cs="Courier New" w:asciiTheme="minorAscii" w:hAnsiTheme="minorAscii"/>
          <w:color w:val="1F1F1F"/>
          <w:sz w:val="28"/>
          <w:szCs w:val="28"/>
          <w:shd w:val="clear" w:fill="F8F9FA"/>
          <w:lang w:val="en-US"/>
        </w:rPr>
      </w:pPr>
      <w:r>
        <w:rPr>
          <w:rFonts w:hint="default" w:eastAsia="serif" w:cs="Courier New" w:asciiTheme="minorAscii" w:hAnsiTheme="minorAscii"/>
          <w:color w:val="1F1F1F"/>
          <w:kern w:val="0"/>
          <w:sz w:val="28"/>
          <w:szCs w:val="28"/>
          <w:shd w:val="clear" w:fill="F8F9FA"/>
          <w:lang w:val="en-US" w:eastAsia="zh-CN" w:bidi="ar"/>
        </w:rPr>
        <w:t>swallowing disorders, nasal bleeding decreased sense of smell, and tinnitus were significantly associated with disease severity. Swallowing disorders P=0.04 and nasal bleeding P=0.003were more common in more severe forms of the disease, while decreased sense of smell P=0.039 and tinnitus P=0.001were more common in patients with less severe disease</w:t>
      </w:r>
    </w:p>
    <w:p w14:paraId="68A89BF4">
      <w:pPr>
        <w:keepNext w:val="0"/>
        <w:keepLines w:val="0"/>
        <w:widowControl/>
        <w:suppressLineNumbers w:val="0"/>
        <w:shd w:val="clear"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540" w:lineRule="atLeast"/>
        <w:ind w:left="0" w:right="0"/>
        <w:jc w:val="left"/>
        <w:rPr>
          <w:rFonts w:hint="default" w:eastAsia="serif" w:cs="Courier New" w:asciiTheme="minorAscii" w:hAnsiTheme="minorAscii"/>
          <w:color w:val="1F1F1F"/>
          <w:kern w:val="0"/>
          <w:sz w:val="28"/>
          <w:szCs w:val="28"/>
          <w:shd w:val="clear" w:fill="F8F9FA"/>
          <w:lang w:val="en-US" w:eastAsia="zh-CN" w:bidi="ar"/>
        </w:rPr>
      </w:pPr>
      <w:r>
        <w:rPr>
          <w:rFonts w:hint="default" w:eastAsia="serif" w:cs="Courier New" w:asciiTheme="minorAscii" w:hAnsiTheme="minorAscii"/>
          <w:color w:val="1F1F1F"/>
          <w:kern w:val="0"/>
          <w:sz w:val="28"/>
          <w:szCs w:val="28"/>
          <w:shd w:val="clear" w:fill="F8F9FA"/>
          <w:lang w:val="en-US" w:eastAsia="zh-CN" w:bidi="ar"/>
        </w:rPr>
        <w:t>Conclusion: The results of this study showed that ear, nose, and throat symptoms are highly prevalent in patients with COVID-19, and some of these symptoms (such as dysphagia, epistaxis, hyposmia, and tinnitus) are significantly associated with the severity of the disease.</w:t>
      </w:r>
    </w:p>
    <w:p w14:paraId="18EEEEEE">
      <w:pPr>
        <w:keepNext w:val="0"/>
        <w:keepLines w:val="0"/>
        <w:widowControl/>
        <w:suppressLineNumbers w:val="0"/>
        <w:shd w:val="clear"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540" w:lineRule="atLeast"/>
        <w:ind w:left="0" w:right="0"/>
        <w:jc w:val="left"/>
        <w:rPr>
          <w:rFonts w:hint="default" w:eastAsia="serif" w:cs="Courier New" w:asciiTheme="minorAscii" w:hAnsiTheme="minorAscii"/>
          <w:color w:val="1F1F1F"/>
          <w:kern w:val="0"/>
          <w:sz w:val="28"/>
          <w:szCs w:val="28"/>
          <w:shd w:val="clear" w:fill="F8F9FA"/>
          <w:lang w:val="en-US" w:eastAsia="zh-CN" w:bidi="ar"/>
        </w:rPr>
      </w:pPr>
      <w:r>
        <w:rPr>
          <w:rFonts w:hint="default" w:eastAsia="serif" w:cs="Courier New" w:asciiTheme="minorAscii" w:hAnsiTheme="minorAscii"/>
          <w:color w:val="1F1F1F"/>
          <w:kern w:val="0"/>
          <w:sz w:val="28"/>
          <w:szCs w:val="28"/>
          <w:shd w:val="clear" w:fill="F8F9FA"/>
          <w:lang w:val="en-US" w:eastAsia="zh-CN" w:bidi="ar"/>
        </w:rPr>
        <w:t>Key words: Sars covid 2,ENT presentations,covid 19</w:t>
      </w:r>
    </w:p>
    <w:p w14:paraId="197ADB34">
      <w:pPr>
        <w:bidi/>
        <w:spacing w:line="360" w:lineRule="auto"/>
        <w:jc w:val="both"/>
        <w:rPr>
          <w:rFonts w:ascii="Times New Roman" w:hAnsi="Times New Roman" w:cs="B Nazanin"/>
          <w:b/>
          <w:bCs/>
          <w:sz w:val="28"/>
          <w:szCs w:val="28"/>
          <w:rtl/>
        </w:rPr>
      </w:pPr>
    </w:p>
    <w:p w14:paraId="674CBBCB">
      <w:pPr>
        <w:bidi/>
        <w:spacing w:line="360" w:lineRule="auto"/>
        <w:jc w:val="both"/>
        <w:rPr>
          <w:rFonts w:ascii="Times New Roman" w:hAnsi="Times New Roman" w:cs="B Nazanin"/>
          <w:b/>
          <w:bCs/>
          <w:sz w:val="28"/>
          <w:szCs w:val="28"/>
          <w:rtl/>
        </w:rPr>
      </w:pPr>
      <w:r>
        <w:rPr>
          <w:rFonts w:ascii="Times New Roman" w:hAnsi="Times New Roman" w:cs="B Nazanin"/>
          <w:b/>
          <w:bCs/>
          <w:sz w:val="28"/>
          <w:szCs w:val="28"/>
          <w:rtl/>
        </w:rPr>
        <w:t>بررس</w:t>
      </w:r>
      <w:r>
        <w:rPr>
          <w:rFonts w:hint="cs" w:ascii="Times New Roman" w:hAnsi="Times New Roman" w:cs="B Nazanin"/>
          <w:b/>
          <w:bCs/>
          <w:sz w:val="28"/>
          <w:szCs w:val="28"/>
          <w:rtl/>
        </w:rPr>
        <w:t>ی</w:t>
      </w:r>
      <w:r>
        <w:rPr>
          <w:rFonts w:ascii="Times New Roman" w:hAnsi="Times New Roman" w:cs="B Nazanin"/>
          <w:b/>
          <w:bCs/>
          <w:sz w:val="28"/>
          <w:szCs w:val="28"/>
          <w:rtl/>
        </w:rPr>
        <w:t xml:space="preserve"> ش</w:t>
      </w:r>
      <w:r>
        <w:rPr>
          <w:rFonts w:hint="cs" w:ascii="Times New Roman" w:hAnsi="Times New Roman" w:cs="B Nazanin"/>
          <w:b/>
          <w:bCs/>
          <w:sz w:val="28"/>
          <w:szCs w:val="28"/>
          <w:rtl/>
        </w:rPr>
        <w:t>ی</w:t>
      </w:r>
      <w:r>
        <w:rPr>
          <w:rFonts w:hint="eastAsia" w:ascii="Times New Roman" w:hAnsi="Times New Roman" w:cs="B Nazanin"/>
          <w:b/>
          <w:bCs/>
          <w:sz w:val="28"/>
          <w:szCs w:val="28"/>
          <w:rtl/>
        </w:rPr>
        <w:t>وع</w:t>
      </w:r>
      <w:r>
        <w:rPr>
          <w:rFonts w:ascii="Times New Roman" w:hAnsi="Times New Roman" w:cs="B Nazanin"/>
          <w:b/>
          <w:bCs/>
          <w:sz w:val="28"/>
          <w:szCs w:val="28"/>
          <w:rtl/>
        </w:rPr>
        <w:t xml:space="preserve"> علائم گوش، حلق و ب</w:t>
      </w:r>
      <w:r>
        <w:rPr>
          <w:rFonts w:hint="cs" w:ascii="Times New Roman" w:hAnsi="Times New Roman" w:cs="B Nazanin"/>
          <w:b/>
          <w:bCs/>
          <w:sz w:val="28"/>
          <w:szCs w:val="28"/>
          <w:rtl/>
        </w:rPr>
        <w:t>ی</w:t>
      </w:r>
      <w:r>
        <w:rPr>
          <w:rFonts w:hint="eastAsia" w:ascii="Times New Roman" w:hAnsi="Times New Roman" w:cs="B Nazanin"/>
          <w:b/>
          <w:bCs/>
          <w:sz w:val="28"/>
          <w:szCs w:val="28"/>
          <w:rtl/>
        </w:rPr>
        <w:t>ن</w:t>
      </w:r>
      <w:r>
        <w:rPr>
          <w:rFonts w:hint="cs" w:ascii="Times New Roman" w:hAnsi="Times New Roman" w:cs="B Nazanin"/>
          <w:b/>
          <w:bCs/>
          <w:sz w:val="28"/>
          <w:szCs w:val="28"/>
          <w:rtl/>
        </w:rPr>
        <w:t>ی</w:t>
      </w:r>
      <w:r>
        <w:rPr>
          <w:rFonts w:ascii="Times New Roman" w:hAnsi="Times New Roman" w:cs="B Nazanin"/>
          <w:b/>
          <w:bCs/>
          <w:sz w:val="28"/>
          <w:szCs w:val="28"/>
          <w:rtl/>
        </w:rPr>
        <w:t xml:space="preserve"> در ب</w:t>
      </w:r>
      <w:r>
        <w:rPr>
          <w:rFonts w:hint="cs" w:ascii="Times New Roman" w:hAnsi="Times New Roman" w:cs="B Nazanin"/>
          <w:b/>
          <w:bCs/>
          <w:sz w:val="28"/>
          <w:szCs w:val="28"/>
          <w:rtl/>
        </w:rPr>
        <w:t>ی</w:t>
      </w:r>
      <w:r>
        <w:rPr>
          <w:rFonts w:hint="eastAsia" w:ascii="Times New Roman" w:hAnsi="Times New Roman" w:cs="B Nazanin"/>
          <w:b/>
          <w:bCs/>
          <w:sz w:val="28"/>
          <w:szCs w:val="28"/>
          <w:rtl/>
        </w:rPr>
        <w:t>ماران</w:t>
      </w:r>
      <w:r>
        <w:rPr>
          <w:rFonts w:ascii="Times New Roman" w:hAnsi="Times New Roman" w:cs="B Nazanin"/>
          <w:b/>
          <w:bCs/>
          <w:sz w:val="28"/>
          <w:szCs w:val="28"/>
          <w:rtl/>
        </w:rPr>
        <w:t xml:space="preserve"> مبتلا به کوو</w:t>
      </w:r>
      <w:r>
        <w:rPr>
          <w:rFonts w:hint="cs" w:ascii="Times New Roman" w:hAnsi="Times New Roman" w:cs="B Nazanin"/>
          <w:b/>
          <w:bCs/>
          <w:sz w:val="28"/>
          <w:szCs w:val="28"/>
          <w:rtl/>
        </w:rPr>
        <w:t>ی</w:t>
      </w:r>
      <w:r>
        <w:rPr>
          <w:rFonts w:hint="eastAsia" w:ascii="Times New Roman" w:hAnsi="Times New Roman" w:cs="B Nazanin"/>
          <w:b/>
          <w:bCs/>
          <w:sz w:val="28"/>
          <w:szCs w:val="28"/>
          <w:rtl/>
        </w:rPr>
        <w:t>د</w:t>
      </w:r>
      <w:r>
        <w:rPr>
          <w:rFonts w:ascii="Times New Roman" w:hAnsi="Times New Roman" w:cs="B Nazanin"/>
          <w:b/>
          <w:bCs/>
          <w:sz w:val="28"/>
          <w:szCs w:val="28"/>
          <w:rtl/>
        </w:rPr>
        <w:t>-</w:t>
      </w:r>
      <w:r>
        <w:rPr>
          <w:rFonts w:ascii="Times New Roman" w:hAnsi="Times New Roman" w:cs="B Nazanin"/>
          <w:b/>
          <w:bCs/>
          <w:sz w:val="28"/>
          <w:szCs w:val="28"/>
          <w:rtl/>
          <w:lang w:bidi="fa-IR"/>
        </w:rPr>
        <w:t>۱۹</w:t>
      </w:r>
      <w:r>
        <w:rPr>
          <w:rFonts w:ascii="Times New Roman" w:hAnsi="Times New Roman" w:cs="B Nazanin"/>
          <w:b/>
          <w:bCs/>
          <w:sz w:val="28"/>
          <w:szCs w:val="28"/>
          <w:rtl/>
        </w:rPr>
        <w:t xml:space="preserve"> و تع</w:t>
      </w:r>
      <w:r>
        <w:rPr>
          <w:rFonts w:hint="cs" w:ascii="Times New Roman" w:hAnsi="Times New Roman" w:cs="B Nazanin"/>
          <w:b/>
          <w:bCs/>
          <w:sz w:val="28"/>
          <w:szCs w:val="28"/>
          <w:rtl/>
        </w:rPr>
        <w:t>یی</w:t>
      </w:r>
      <w:r>
        <w:rPr>
          <w:rFonts w:hint="eastAsia" w:ascii="Times New Roman" w:hAnsi="Times New Roman" w:cs="B Nazanin"/>
          <w:b/>
          <w:bCs/>
          <w:sz w:val="28"/>
          <w:szCs w:val="28"/>
          <w:rtl/>
        </w:rPr>
        <w:t>ن</w:t>
      </w:r>
      <w:r>
        <w:rPr>
          <w:rFonts w:ascii="Times New Roman" w:hAnsi="Times New Roman" w:cs="B Nazanin"/>
          <w:b/>
          <w:bCs/>
          <w:sz w:val="28"/>
          <w:szCs w:val="28"/>
          <w:rtl/>
        </w:rPr>
        <w:t xml:space="preserve"> ارتباط ا</w:t>
      </w:r>
      <w:r>
        <w:rPr>
          <w:rFonts w:hint="cs" w:ascii="Times New Roman" w:hAnsi="Times New Roman" w:cs="B Nazanin"/>
          <w:b/>
          <w:bCs/>
          <w:sz w:val="28"/>
          <w:szCs w:val="28"/>
          <w:rtl/>
        </w:rPr>
        <w:t>ی</w:t>
      </w:r>
      <w:r>
        <w:rPr>
          <w:rFonts w:hint="eastAsia" w:ascii="Times New Roman" w:hAnsi="Times New Roman" w:cs="B Nazanin"/>
          <w:b/>
          <w:bCs/>
          <w:sz w:val="28"/>
          <w:szCs w:val="28"/>
          <w:rtl/>
        </w:rPr>
        <w:t>ن</w:t>
      </w:r>
      <w:r>
        <w:rPr>
          <w:rFonts w:ascii="Times New Roman" w:hAnsi="Times New Roman" w:cs="B Nazanin"/>
          <w:b/>
          <w:bCs/>
          <w:sz w:val="28"/>
          <w:szCs w:val="28"/>
          <w:rtl/>
        </w:rPr>
        <w:t xml:space="preserve"> علائم با شدت ب</w:t>
      </w:r>
      <w:r>
        <w:rPr>
          <w:rFonts w:hint="cs" w:ascii="Times New Roman" w:hAnsi="Times New Roman" w:cs="B Nazanin"/>
          <w:b/>
          <w:bCs/>
          <w:sz w:val="28"/>
          <w:szCs w:val="28"/>
          <w:rtl/>
        </w:rPr>
        <w:t>ی</w:t>
      </w:r>
      <w:r>
        <w:rPr>
          <w:rFonts w:hint="eastAsia" w:ascii="Times New Roman" w:hAnsi="Times New Roman" w:cs="B Nazanin"/>
          <w:b/>
          <w:bCs/>
          <w:sz w:val="28"/>
          <w:szCs w:val="28"/>
          <w:rtl/>
        </w:rPr>
        <w:t>مار</w:t>
      </w:r>
      <w:r>
        <w:rPr>
          <w:rFonts w:hint="cs" w:ascii="Times New Roman" w:hAnsi="Times New Roman" w:cs="B Nazanin"/>
          <w:b/>
          <w:bCs/>
          <w:sz w:val="28"/>
          <w:szCs w:val="28"/>
          <w:rtl/>
        </w:rPr>
        <w:t>ی</w:t>
      </w:r>
      <w:r>
        <w:rPr>
          <w:rFonts w:ascii="Times New Roman" w:hAnsi="Times New Roman" w:cs="B Nazanin"/>
          <w:b/>
          <w:bCs/>
          <w:sz w:val="28"/>
          <w:szCs w:val="28"/>
          <w:rtl/>
        </w:rPr>
        <w:t xml:space="preserve"> </w:t>
      </w:r>
    </w:p>
    <w:p w14:paraId="2187EAAB">
      <w:pPr>
        <w:bidi/>
        <w:spacing w:line="360" w:lineRule="auto"/>
        <w:jc w:val="both"/>
        <w:rPr>
          <w:rFonts w:hint="default" w:ascii="Arial" w:hAnsi="Arial" w:cs="Arial"/>
          <w:b/>
          <w:bCs/>
          <w:sz w:val="28"/>
          <w:szCs w:val="28"/>
          <w:rtl/>
          <w:lang w:val="en-US" w:eastAsia="zh-CN" w:bidi="fa-IR"/>
        </w:rPr>
      </w:pPr>
      <w:r>
        <w:rPr>
          <w:rFonts w:hint="default" w:ascii="Arial" w:hAnsi="Arial" w:cs="Arial"/>
          <w:b/>
          <w:bCs/>
          <w:sz w:val="28"/>
          <w:szCs w:val="28"/>
          <w:rtl/>
          <w:lang w:val="en-US" w:eastAsia="zh-CN" w:bidi="fa-IR"/>
        </w:rPr>
        <w:t>سحر شادور١،علی ترابی ۲، مهرانگیز زنگنه۳ ، معصومه مسگریان ١</w:t>
      </w:r>
    </w:p>
    <w:p w14:paraId="7FA26DA3">
      <w:pPr>
        <w:wordWrap w:val="0"/>
        <w:bidi/>
        <w:spacing w:line="360" w:lineRule="auto"/>
        <w:jc w:val="left"/>
        <w:rPr>
          <w:rFonts w:hint="cs" w:ascii="Arial" w:hAnsi="Arial" w:cs="Arial"/>
          <w:b/>
          <w:bCs/>
          <w:sz w:val="22"/>
          <w:szCs w:val="22"/>
          <w:rtl/>
          <w:lang w:val="en-US" w:eastAsia="zh-CN" w:bidi="fa-IR"/>
        </w:rPr>
      </w:pPr>
      <w:r>
        <w:rPr>
          <w:rFonts w:hint="default" w:ascii="Arabic Typesetting" w:hAnsi="Arabic Typesetting" w:cs="Arabic Typesetting"/>
          <w:b/>
          <w:bCs/>
          <w:sz w:val="22"/>
          <w:szCs w:val="22"/>
          <w:rtl/>
          <w:lang w:val="en-US" w:eastAsia="zh-CN" w:bidi="fa-IR"/>
        </w:rPr>
        <w:t>١</w:t>
      </w:r>
      <w:r>
        <w:rPr>
          <w:rFonts w:hint="cs" w:ascii="Arial" w:hAnsi="Arial" w:cs="Arial"/>
          <w:b/>
          <w:bCs/>
          <w:sz w:val="21"/>
          <w:szCs w:val="21"/>
          <w:rtl/>
          <w:lang w:val="en-US" w:eastAsia="zh-CN" w:bidi="fa-IR"/>
        </w:rPr>
        <w:t>دپارتمان بیماری های عفونی ،بیمارستان امیرالمونین ع ،دانشکده پزشکی علوم پزشکی تهران،دانشگاه ازاد اسلامی ،تهران،ایران</w:t>
      </w:r>
    </w:p>
    <w:p w14:paraId="1FE39575">
      <w:pPr>
        <w:wordWrap w:val="0"/>
        <w:bidi/>
        <w:spacing w:line="360" w:lineRule="auto"/>
        <w:jc w:val="left"/>
        <w:rPr>
          <w:rFonts w:hint="default" w:ascii="Arial" w:hAnsi="Arial" w:cs="Arial"/>
          <w:b/>
          <w:bCs/>
          <w:sz w:val="22"/>
          <w:szCs w:val="22"/>
          <w:rtl/>
          <w:lang w:val="en-US" w:eastAsia="zh-CN" w:bidi="fa-IR"/>
        </w:rPr>
      </w:pPr>
      <w:r>
        <w:rPr>
          <w:rFonts w:hint="default" w:ascii="Arabic Typesetting" w:hAnsi="Arabic Typesetting" w:cs="Arabic Typesetting"/>
          <w:b/>
          <w:bCs/>
          <w:sz w:val="22"/>
          <w:szCs w:val="22"/>
          <w:rtl/>
          <w:lang w:val="en-US" w:eastAsia="zh-CN" w:bidi="fa-IR"/>
        </w:rPr>
        <w:t>۲</w:t>
      </w:r>
      <w:r>
        <w:rPr>
          <w:rFonts w:hint="cs" w:ascii="Arial" w:hAnsi="Arial" w:cs="Arial"/>
          <w:b/>
          <w:bCs/>
          <w:sz w:val="21"/>
          <w:szCs w:val="21"/>
          <w:rtl/>
          <w:lang w:val="en-US" w:eastAsia="zh-CN" w:bidi="fa-IR"/>
        </w:rPr>
        <w:t>دپارتمان بیماری های عفونی ،بیمارستان امیرالمونین ع ،دانشکده پزشکی علوم پزشکی تهران،دانشگاه ازاد اسلامی ،تهران،ایران</w:t>
      </w:r>
    </w:p>
    <w:p w14:paraId="110D21CB">
      <w:pPr>
        <w:wordWrap w:val="0"/>
        <w:bidi/>
        <w:spacing w:line="360" w:lineRule="auto"/>
        <w:jc w:val="left"/>
        <w:rPr>
          <w:rFonts w:hint="default" w:ascii="Arial" w:hAnsi="Arial" w:cs="Arial"/>
          <w:b/>
          <w:bCs/>
          <w:sz w:val="22"/>
          <w:szCs w:val="22"/>
          <w:rtl/>
          <w:lang w:val="en-US" w:eastAsia="zh-CN" w:bidi="fa-IR"/>
        </w:rPr>
      </w:pPr>
      <w:r>
        <w:rPr>
          <w:rFonts w:hint="default" w:ascii="Arabic Typesetting" w:hAnsi="Arabic Typesetting" w:cs="Arabic Typesetting"/>
          <w:b/>
          <w:bCs/>
          <w:sz w:val="22"/>
          <w:szCs w:val="22"/>
          <w:rtl/>
          <w:lang w:val="en-US" w:eastAsia="zh-CN" w:bidi="fa-IR"/>
        </w:rPr>
        <w:t>۳</w:t>
      </w:r>
      <w:r>
        <w:rPr>
          <w:rFonts w:hint="cs" w:ascii="Arial" w:hAnsi="Arial" w:cs="Arial"/>
          <w:b/>
          <w:bCs/>
          <w:sz w:val="22"/>
          <w:szCs w:val="22"/>
          <w:rtl/>
          <w:lang w:val="en-US" w:eastAsia="zh-CN" w:bidi="fa-IR"/>
        </w:rPr>
        <w:t xml:space="preserve"> </w:t>
      </w:r>
      <w:r>
        <w:rPr>
          <w:rFonts w:hint="cs" w:ascii="Arial" w:hAnsi="Arial" w:cs="Arial"/>
          <w:b/>
          <w:bCs/>
          <w:sz w:val="21"/>
          <w:szCs w:val="21"/>
          <w:rtl/>
          <w:lang w:val="en-US" w:eastAsia="zh-CN" w:bidi="fa-IR"/>
        </w:rPr>
        <w:t>دپارتمان بیماری های عفونی ،بیمارستان امیرالمونین ع ،دانشکده پزشکی علوم پزشکی تهران،دانشگاه ازاد اسلامی ،تهران،ایران</w:t>
      </w:r>
    </w:p>
    <w:p w14:paraId="7DDAA7DD">
      <w:pPr>
        <w:wordWrap/>
        <w:bidi/>
        <w:spacing w:line="360" w:lineRule="auto"/>
        <w:jc w:val="left"/>
        <w:rPr>
          <w:rFonts w:hint="default" w:ascii="Arial" w:hAnsi="Arial" w:cs="Arial"/>
          <w:b/>
          <w:bCs/>
          <w:sz w:val="22"/>
          <w:szCs w:val="22"/>
          <w:rtl/>
          <w:lang w:val="en-US" w:eastAsia="zh-CN" w:bidi="fa-IR"/>
        </w:rPr>
      </w:pPr>
    </w:p>
    <w:p w14:paraId="5254145B">
      <w:pPr>
        <w:bidi/>
        <w:spacing w:line="360" w:lineRule="auto"/>
        <w:jc w:val="both"/>
        <w:rPr>
          <w:rFonts w:hint="cs" w:ascii="Times New Roman" w:hAnsi="Times New Roman" w:cs="B Nazanin"/>
          <w:b/>
          <w:bCs/>
          <w:sz w:val="28"/>
          <w:szCs w:val="28"/>
          <w:rtl/>
          <w:lang w:val="en-US" w:bidi="fa-IR"/>
        </w:rPr>
      </w:pPr>
      <w:r>
        <w:rPr>
          <w:rFonts w:hint="cs" w:ascii="Times New Roman" w:hAnsi="Times New Roman" w:cs="B Nazanin"/>
          <w:b/>
          <w:bCs/>
          <w:sz w:val="28"/>
          <w:szCs w:val="28"/>
          <w:rtl/>
          <w:lang w:bidi="fa-IR"/>
        </w:rPr>
        <w:t>چکیده</w:t>
      </w:r>
      <w:r>
        <w:rPr>
          <w:rFonts w:hint="cs" w:ascii="Times New Roman" w:hAnsi="Times New Roman" w:cs="B Nazanin"/>
          <w:b/>
          <w:bCs/>
          <w:sz w:val="28"/>
          <w:szCs w:val="28"/>
          <w:rtl/>
          <w:lang w:val="en-US" w:bidi="fa-IR"/>
        </w:rPr>
        <w:t>:</w:t>
      </w:r>
    </w:p>
    <w:p w14:paraId="53F2D29F">
      <w:pPr>
        <w:bidi/>
        <w:spacing w:line="360" w:lineRule="auto"/>
        <w:jc w:val="both"/>
        <w:rPr>
          <w:rFonts w:hint="default" w:ascii="Arial" w:hAnsi="Arial" w:cs="Arial"/>
          <w:sz w:val="28"/>
          <w:szCs w:val="28"/>
          <w:rtl/>
        </w:rPr>
      </w:pPr>
      <w:r>
        <w:rPr>
          <w:rFonts w:hint="default" w:ascii="Arial" w:hAnsi="Arial" w:cs="Arial"/>
          <w:sz w:val="28"/>
          <w:szCs w:val="28"/>
          <w:rtl/>
        </w:rPr>
        <w:t>مقدمه: ویروس کرونا (</w:t>
      </w:r>
      <w:r>
        <w:rPr>
          <w:rFonts w:hint="default" w:ascii="Arial" w:hAnsi="Arial" w:cs="Arial"/>
          <w:sz w:val="28"/>
          <w:szCs w:val="28"/>
          <w:lang w:bidi="fa-IR"/>
        </w:rPr>
        <w:t>SARS-CoV-2</w:t>
      </w:r>
      <w:r>
        <w:rPr>
          <w:rFonts w:hint="default" w:ascii="Arial" w:hAnsi="Arial" w:cs="Arial"/>
          <w:sz w:val="28"/>
          <w:szCs w:val="28"/>
          <w:rtl/>
        </w:rPr>
        <w:t>) که عامل ایجادکننده بیماری کووید-</w:t>
      </w:r>
      <w:r>
        <w:rPr>
          <w:rFonts w:hint="default" w:ascii="Arial" w:hAnsi="Arial" w:cs="Arial"/>
          <w:sz w:val="28"/>
          <w:szCs w:val="28"/>
          <w:rtl/>
          <w:lang w:bidi="fa-IR"/>
        </w:rPr>
        <w:t>۱۹</w:t>
      </w:r>
      <w:r>
        <w:rPr>
          <w:rFonts w:hint="default" w:ascii="Arial" w:hAnsi="Arial" w:cs="Arial"/>
          <w:sz w:val="28"/>
          <w:szCs w:val="28"/>
          <w:rtl/>
        </w:rPr>
        <w:t xml:space="preserve"> است، از زمان شیوع اولیه خود در دسامبر </w:t>
      </w:r>
      <w:r>
        <w:rPr>
          <w:rFonts w:hint="default" w:ascii="Arial" w:hAnsi="Arial" w:cs="Arial"/>
          <w:sz w:val="28"/>
          <w:szCs w:val="28"/>
          <w:rtl/>
          <w:lang w:bidi="fa-IR"/>
        </w:rPr>
        <w:t>۲۰۱۹</w:t>
      </w:r>
      <w:r>
        <w:rPr>
          <w:rFonts w:hint="default" w:ascii="Arial" w:hAnsi="Arial" w:cs="Arial"/>
          <w:sz w:val="28"/>
          <w:szCs w:val="28"/>
          <w:rtl/>
        </w:rPr>
        <w:t xml:space="preserve"> تاکنون به یک پاندمی جهانی تبدیل شده و میلیون‌ها نفر را در سراسر جهان تحت تأثیر قرار داده است. این بیماری عمدتاً بر سیستم تنفسی تأثیر می‌گذارد، اما مطالعات اخیر نشان داده‌اند که علائم خارج از سیستم تنفسی، از جمله درگیری گوش، حلق و بینی، نیز در بسیاری از بیماران مشاهده می‌شود.</w:t>
      </w:r>
    </w:p>
    <w:p w14:paraId="7F8DE7D9">
      <w:pPr>
        <w:bidi/>
        <w:spacing w:line="360" w:lineRule="auto"/>
        <w:jc w:val="both"/>
        <w:rPr>
          <w:rFonts w:hint="default" w:ascii="Arial" w:hAnsi="Arial" w:cs="Arial"/>
          <w:sz w:val="28"/>
          <w:szCs w:val="28"/>
          <w:rtl/>
        </w:rPr>
      </w:pPr>
      <w:r>
        <w:rPr>
          <w:rFonts w:hint="default" w:ascii="Arial" w:hAnsi="Arial" w:cs="Arial"/>
          <w:sz w:val="28"/>
          <w:szCs w:val="28"/>
          <w:rtl/>
        </w:rPr>
        <w:t>هدف: بررسی شیوع علائم گوش، حلق و بینی در بیماران مبتلا به کووید-</w:t>
      </w:r>
      <w:r>
        <w:rPr>
          <w:rFonts w:hint="default" w:ascii="Arial" w:hAnsi="Arial" w:cs="Arial"/>
          <w:sz w:val="28"/>
          <w:szCs w:val="28"/>
          <w:rtl/>
          <w:lang w:bidi="fa-IR"/>
        </w:rPr>
        <w:t>۱۹</w:t>
      </w:r>
      <w:r>
        <w:rPr>
          <w:rFonts w:hint="default" w:ascii="Arial" w:hAnsi="Arial" w:cs="Arial"/>
          <w:sz w:val="28"/>
          <w:szCs w:val="28"/>
          <w:rtl/>
        </w:rPr>
        <w:t xml:space="preserve"> و تعیین ارتباط این علائم با شدت بیماری است. </w:t>
      </w:r>
    </w:p>
    <w:p w14:paraId="32D30790">
      <w:pPr>
        <w:bidi/>
        <w:spacing w:line="360" w:lineRule="auto"/>
        <w:jc w:val="both"/>
        <w:rPr>
          <w:rFonts w:hint="default" w:ascii="Arial" w:hAnsi="Arial" w:cs="Arial"/>
          <w:sz w:val="28"/>
          <w:szCs w:val="28"/>
          <w:rtl/>
        </w:rPr>
      </w:pPr>
      <w:r>
        <w:rPr>
          <w:rFonts w:hint="default" w:ascii="Arial" w:hAnsi="Arial" w:cs="Arial"/>
          <w:sz w:val="28"/>
          <w:szCs w:val="28"/>
          <w:rtl/>
        </w:rPr>
        <w:t xml:space="preserve">مواد و روش‌ها: در این مطالعه ی گذشته‌نگر، بیماران مبتلا به کووید-19 بستری به بیمارستان‌های تابعه دانشگاه آزاد اسلامی از ابتدای سال 1398 تا پایان سال 1399 بررسی شدند. پس از اعمال معیارهای ورود و خروج،  </w:t>
      </w:r>
      <w:r>
        <w:rPr>
          <w:rFonts w:hint="default" w:ascii="Arial" w:hAnsi="Arial" w:cs="Arial"/>
          <w:sz w:val="28"/>
          <w:szCs w:val="28"/>
          <w:rtl/>
          <w:lang w:bidi="fa-IR"/>
        </w:rPr>
        <w:t>197</w:t>
      </w:r>
      <w:r>
        <w:rPr>
          <w:rFonts w:hint="default" w:ascii="Arial" w:hAnsi="Arial" w:cs="Arial"/>
          <w:sz w:val="28"/>
          <w:szCs w:val="28"/>
          <w:rtl/>
        </w:rPr>
        <w:t xml:space="preserve"> بیمار وارد مطالعه شدند و اطلاعات دموگرافیک (سن، جنس و...) و علائم گوش، حلق و بینی از پرونده‌ها استخراج و در فرم جمع‌آوری اطلاعات ثبت شد. سطح معنی داری کمتر از 0.05 در نظر گرفته شد.</w:t>
      </w:r>
    </w:p>
    <w:p w14:paraId="53A0D2BB">
      <w:pPr>
        <w:bidi/>
        <w:spacing w:line="360" w:lineRule="auto"/>
        <w:jc w:val="both"/>
        <w:rPr>
          <w:rFonts w:hint="default" w:ascii="Arial" w:hAnsi="Arial" w:cs="Arial"/>
          <w:sz w:val="28"/>
          <w:szCs w:val="28"/>
          <w:rtl/>
        </w:rPr>
      </w:pPr>
      <w:r>
        <w:rPr>
          <w:rFonts w:hint="default" w:ascii="Arial" w:hAnsi="Arial" w:cs="Arial"/>
          <w:sz w:val="28"/>
          <w:szCs w:val="28"/>
          <w:rtl/>
        </w:rPr>
        <w:t>یافته</w:t>
      </w:r>
      <w:r>
        <w:rPr>
          <w:rFonts w:hint="default" w:ascii="Arial" w:hAnsi="Arial" w:cs="Arial"/>
          <w:sz w:val="28"/>
          <w:szCs w:val="28"/>
          <w:rtl/>
          <w:lang w:val="en-US" w:bidi="fa-IR"/>
        </w:rPr>
        <w:t xml:space="preserve"> </w:t>
      </w:r>
      <w:r>
        <w:rPr>
          <w:rFonts w:hint="default" w:ascii="Arial" w:hAnsi="Arial" w:cs="Arial"/>
          <w:sz w:val="28"/>
          <w:szCs w:val="28"/>
          <w:rtl/>
        </w:rPr>
        <w:t xml:space="preserve">‌ها: شایع‌ترین علامت، سرفه بود که در </w:t>
      </w:r>
      <w:r>
        <w:rPr>
          <w:rFonts w:hint="default" w:ascii="Arial" w:hAnsi="Arial" w:cs="Arial"/>
          <w:sz w:val="28"/>
          <w:szCs w:val="28"/>
          <w:rtl/>
          <w:lang w:bidi="fa-IR"/>
        </w:rPr>
        <w:t>۵۶.۹٪</w:t>
      </w:r>
      <w:r>
        <w:rPr>
          <w:rFonts w:hint="default" w:ascii="Arial" w:hAnsi="Arial" w:cs="Arial"/>
          <w:sz w:val="28"/>
          <w:szCs w:val="28"/>
          <w:rtl/>
        </w:rPr>
        <w:t xml:space="preserve"> از بیماران مشاهده شد. سایر علائم شامل هیپوسمیا (کاهش حس بویایی) (</w:t>
      </w:r>
      <w:r>
        <w:rPr>
          <w:rFonts w:hint="default" w:ascii="Arial" w:hAnsi="Arial" w:cs="Arial"/>
          <w:sz w:val="28"/>
          <w:szCs w:val="28"/>
          <w:rtl/>
          <w:lang w:bidi="fa-IR"/>
        </w:rPr>
        <w:t>۱۰.۲٪)</w:t>
      </w:r>
      <w:r>
        <w:rPr>
          <w:rFonts w:hint="default" w:ascii="Arial" w:hAnsi="Arial" w:cs="Arial"/>
          <w:sz w:val="28"/>
          <w:szCs w:val="28"/>
          <w:rtl/>
        </w:rPr>
        <w:t>، گلودرد (</w:t>
      </w:r>
      <w:r>
        <w:rPr>
          <w:rFonts w:hint="default" w:ascii="Arial" w:hAnsi="Arial" w:cs="Arial"/>
          <w:sz w:val="28"/>
          <w:szCs w:val="28"/>
          <w:rtl/>
          <w:lang w:bidi="fa-IR"/>
        </w:rPr>
        <w:t>۷.۶٪)</w:t>
      </w:r>
      <w:r>
        <w:rPr>
          <w:rFonts w:hint="default" w:ascii="Arial" w:hAnsi="Arial" w:cs="Arial"/>
          <w:sz w:val="28"/>
          <w:szCs w:val="28"/>
          <w:rtl/>
        </w:rPr>
        <w:t xml:space="preserve">، </w:t>
      </w:r>
      <w:r>
        <w:rPr>
          <w:rFonts w:hint="default" w:ascii="Arial" w:hAnsi="Arial" w:cs="Arial"/>
          <w:sz w:val="28"/>
          <w:szCs w:val="28"/>
          <w:rtl/>
          <w:lang w:bidi="fa-IR"/>
        </w:rPr>
        <w:t>هیپو</w:t>
      </w:r>
      <w:r>
        <w:rPr>
          <w:rFonts w:hint="default" w:ascii="Arial" w:hAnsi="Arial" w:cs="Arial"/>
          <w:sz w:val="28"/>
          <w:szCs w:val="28"/>
          <w:rtl/>
        </w:rPr>
        <w:t>جنزی (</w:t>
      </w:r>
      <w:r>
        <w:rPr>
          <w:rFonts w:hint="default" w:ascii="Arial" w:hAnsi="Arial" w:cs="Arial"/>
          <w:sz w:val="28"/>
          <w:szCs w:val="28"/>
          <w:rtl/>
          <w:lang w:bidi="fa-IR"/>
        </w:rPr>
        <w:t>۷.۶٪)</w:t>
      </w:r>
      <w:r>
        <w:rPr>
          <w:rFonts w:hint="default" w:ascii="Arial" w:hAnsi="Arial" w:cs="Arial"/>
          <w:sz w:val="28"/>
          <w:szCs w:val="28"/>
          <w:rtl/>
        </w:rPr>
        <w:t>، وزوز گوش (</w:t>
      </w:r>
      <w:r>
        <w:rPr>
          <w:rFonts w:hint="default" w:ascii="Arial" w:hAnsi="Arial" w:cs="Arial"/>
          <w:sz w:val="28"/>
          <w:szCs w:val="28"/>
          <w:rtl/>
          <w:lang w:bidi="fa-IR"/>
        </w:rPr>
        <w:t>۳.۰٪)</w:t>
      </w:r>
      <w:r>
        <w:rPr>
          <w:rFonts w:hint="default" w:ascii="Arial" w:hAnsi="Arial" w:cs="Arial"/>
          <w:sz w:val="28"/>
          <w:szCs w:val="28"/>
          <w:rtl/>
        </w:rPr>
        <w:t>، آبریزش بینی (</w:t>
      </w:r>
      <w:r>
        <w:rPr>
          <w:rFonts w:hint="default" w:ascii="Arial" w:hAnsi="Arial" w:cs="Arial"/>
          <w:sz w:val="28"/>
          <w:szCs w:val="28"/>
          <w:rtl/>
          <w:lang w:bidi="fa-IR"/>
        </w:rPr>
        <w:t>۵.۱٪)</w:t>
      </w:r>
      <w:r>
        <w:rPr>
          <w:rFonts w:hint="default" w:ascii="Arial" w:hAnsi="Arial" w:cs="Arial"/>
          <w:sz w:val="28"/>
          <w:szCs w:val="28"/>
          <w:rtl/>
        </w:rPr>
        <w:t>، گرفتگی صدا (</w:t>
      </w:r>
      <w:r>
        <w:rPr>
          <w:rFonts w:hint="default" w:ascii="Arial" w:hAnsi="Arial" w:cs="Arial"/>
          <w:sz w:val="28"/>
          <w:szCs w:val="28"/>
          <w:rtl/>
          <w:lang w:bidi="fa-IR"/>
        </w:rPr>
        <w:t>۱.۰٪)</w:t>
      </w:r>
      <w:r>
        <w:rPr>
          <w:rFonts w:hint="default" w:ascii="Arial" w:hAnsi="Arial" w:cs="Arial"/>
          <w:sz w:val="28"/>
          <w:szCs w:val="28"/>
          <w:rtl/>
        </w:rPr>
        <w:t>، خارش گلو (</w:t>
      </w:r>
      <w:r>
        <w:rPr>
          <w:rFonts w:hint="default" w:ascii="Arial" w:hAnsi="Arial" w:cs="Arial"/>
          <w:sz w:val="28"/>
          <w:szCs w:val="28"/>
          <w:rtl/>
          <w:lang w:bidi="fa-IR"/>
        </w:rPr>
        <w:t xml:space="preserve">۰.۵٪) </w:t>
      </w:r>
      <w:r>
        <w:rPr>
          <w:rFonts w:hint="default" w:ascii="Arial" w:hAnsi="Arial" w:cs="Arial"/>
          <w:sz w:val="28"/>
          <w:szCs w:val="28"/>
          <w:rtl/>
        </w:rPr>
        <w:t>و سایر علائم بودند. دیسفاژی (</w:t>
      </w:r>
      <w:r>
        <w:rPr>
          <w:rFonts w:hint="default" w:ascii="Arial" w:hAnsi="Arial" w:cs="Arial"/>
          <w:sz w:val="28"/>
          <w:szCs w:val="28"/>
          <w:rtl/>
          <w:lang w:bidi="fa-IR"/>
        </w:rPr>
        <w:t>۰.۰۴</w:t>
      </w:r>
      <w:r>
        <w:rPr>
          <w:rFonts w:hint="default" w:ascii="Arial" w:hAnsi="Arial" w:cs="Arial"/>
          <w:sz w:val="28"/>
          <w:szCs w:val="28"/>
          <w:lang w:bidi="fa-IR"/>
        </w:rPr>
        <w:t>p=</w:t>
      </w:r>
      <w:r>
        <w:rPr>
          <w:rFonts w:hint="default" w:ascii="Arial" w:hAnsi="Arial" w:cs="Arial"/>
          <w:sz w:val="28"/>
          <w:szCs w:val="28"/>
          <w:rtl/>
          <w:lang w:bidi="fa-IR"/>
        </w:rPr>
        <w:t>)</w:t>
      </w:r>
      <w:r>
        <w:rPr>
          <w:rFonts w:hint="default" w:ascii="Arial" w:hAnsi="Arial" w:cs="Arial"/>
          <w:sz w:val="28"/>
          <w:szCs w:val="28"/>
          <w:rtl/>
        </w:rPr>
        <w:t>، خونریزی بینی (</w:t>
      </w:r>
      <w:r>
        <w:rPr>
          <w:rFonts w:hint="default" w:ascii="Arial" w:hAnsi="Arial" w:cs="Arial"/>
          <w:sz w:val="28"/>
          <w:szCs w:val="28"/>
          <w:rtl/>
          <w:lang w:bidi="fa-IR"/>
        </w:rPr>
        <w:t>۰.۰۰۳</w:t>
      </w:r>
      <w:r>
        <w:rPr>
          <w:rFonts w:hint="default" w:ascii="Arial" w:hAnsi="Arial" w:cs="Arial"/>
          <w:sz w:val="28"/>
          <w:szCs w:val="28"/>
          <w:lang w:bidi="fa-IR"/>
        </w:rPr>
        <w:t>p=</w:t>
      </w:r>
      <w:r>
        <w:rPr>
          <w:rFonts w:hint="default" w:ascii="Arial" w:hAnsi="Arial" w:cs="Arial"/>
          <w:sz w:val="28"/>
          <w:szCs w:val="28"/>
          <w:rtl/>
          <w:lang w:bidi="fa-IR"/>
        </w:rPr>
        <w:t>)</w:t>
      </w:r>
      <w:r>
        <w:rPr>
          <w:rFonts w:hint="default" w:ascii="Arial" w:hAnsi="Arial" w:cs="Arial"/>
          <w:sz w:val="28"/>
          <w:szCs w:val="28"/>
          <w:rtl/>
        </w:rPr>
        <w:t>، هیپوسمیا (</w:t>
      </w:r>
      <w:r>
        <w:rPr>
          <w:rFonts w:hint="default" w:ascii="Arial" w:hAnsi="Arial" w:cs="Arial"/>
          <w:sz w:val="28"/>
          <w:szCs w:val="28"/>
          <w:rtl/>
          <w:lang w:bidi="fa-IR"/>
        </w:rPr>
        <w:t>۰.۰۳۹</w:t>
      </w:r>
      <w:r>
        <w:rPr>
          <w:rFonts w:hint="default" w:ascii="Arial" w:hAnsi="Arial" w:cs="Arial"/>
          <w:sz w:val="28"/>
          <w:szCs w:val="28"/>
          <w:lang w:bidi="fa-IR"/>
        </w:rPr>
        <w:t>p=</w:t>
      </w:r>
      <w:r>
        <w:rPr>
          <w:rFonts w:hint="default" w:ascii="Arial" w:hAnsi="Arial" w:cs="Arial"/>
          <w:sz w:val="28"/>
          <w:szCs w:val="28"/>
          <w:rtl/>
          <w:lang w:bidi="fa-IR"/>
        </w:rPr>
        <w:t xml:space="preserve">) </w:t>
      </w:r>
      <w:r>
        <w:rPr>
          <w:rFonts w:hint="default" w:ascii="Arial" w:hAnsi="Arial" w:cs="Arial"/>
          <w:sz w:val="28"/>
          <w:szCs w:val="28"/>
          <w:rtl/>
        </w:rPr>
        <w:t>و وزوز گوش (</w:t>
      </w:r>
      <w:r>
        <w:rPr>
          <w:rFonts w:hint="default" w:ascii="Arial" w:hAnsi="Arial" w:cs="Arial"/>
          <w:sz w:val="28"/>
          <w:szCs w:val="28"/>
          <w:rtl/>
          <w:lang w:bidi="fa-IR"/>
        </w:rPr>
        <w:t>۰.۰۰۱</w:t>
      </w:r>
      <w:r>
        <w:rPr>
          <w:rFonts w:hint="default" w:ascii="Arial" w:hAnsi="Arial" w:cs="Arial"/>
          <w:sz w:val="28"/>
          <w:szCs w:val="28"/>
          <w:lang w:bidi="fa-IR"/>
        </w:rPr>
        <w:t>p=</w:t>
      </w:r>
      <w:r>
        <w:rPr>
          <w:rFonts w:hint="default" w:ascii="Arial" w:hAnsi="Arial" w:cs="Arial"/>
          <w:sz w:val="28"/>
          <w:szCs w:val="28"/>
          <w:rtl/>
          <w:lang w:bidi="fa-IR"/>
        </w:rPr>
        <w:t xml:space="preserve">) </w:t>
      </w:r>
      <w:r>
        <w:rPr>
          <w:rFonts w:hint="default" w:ascii="Arial" w:hAnsi="Arial" w:cs="Arial"/>
          <w:sz w:val="28"/>
          <w:szCs w:val="28"/>
          <w:rtl/>
        </w:rPr>
        <w:t>ارتباط معناداری با شدت بیماری داشت. دیسفاژی و خونریزی بینی در فرم های شدید تر بیماری، شایع تر بود، در حالی که هیپوسمیا و وزوز گوش در بیماران با شدت کمتر شیوع بیشتری داشت.</w:t>
      </w:r>
    </w:p>
    <w:p w14:paraId="730834C2">
      <w:pPr>
        <w:bidi/>
        <w:spacing w:line="360" w:lineRule="auto"/>
        <w:jc w:val="both"/>
        <w:rPr>
          <w:rFonts w:hint="default" w:ascii="Arial" w:hAnsi="Arial" w:cs="Arial"/>
          <w:sz w:val="28"/>
          <w:szCs w:val="28"/>
          <w:rtl/>
        </w:rPr>
      </w:pPr>
      <w:r>
        <w:rPr>
          <w:rFonts w:hint="default" w:ascii="Arial" w:hAnsi="Arial" w:cs="Arial"/>
          <w:sz w:val="28"/>
          <w:szCs w:val="28"/>
          <w:rtl/>
        </w:rPr>
        <w:t>نتیجه‌گیری: نتایج این مطالعه نشان داد که علائم گوش، حلق و بینی در بیماران مبتلا به کووید-</w:t>
      </w:r>
      <w:r>
        <w:rPr>
          <w:rFonts w:hint="default" w:ascii="Arial" w:hAnsi="Arial" w:cs="Arial"/>
          <w:sz w:val="28"/>
          <w:szCs w:val="28"/>
          <w:rtl/>
          <w:lang w:bidi="fa-IR"/>
        </w:rPr>
        <w:t>۱۹</w:t>
      </w:r>
      <w:r>
        <w:rPr>
          <w:rFonts w:hint="default" w:ascii="Arial" w:hAnsi="Arial" w:cs="Arial"/>
          <w:sz w:val="28"/>
          <w:szCs w:val="28"/>
          <w:rtl/>
        </w:rPr>
        <w:t xml:space="preserve"> از شیوع بالایی برخوردار هستند و برخی از این علائم (مانند دیسفاژی، خونریزی بینی، هیپوسمیا و وزوز گوش) با شدت بیماری ارتباط معناداری دارند. </w:t>
      </w:r>
    </w:p>
    <w:p w14:paraId="6404D785">
      <w:pPr>
        <w:bidi/>
        <w:spacing w:line="360" w:lineRule="auto"/>
        <w:jc w:val="both"/>
        <w:rPr>
          <w:rFonts w:hint="default" w:ascii="Arial" w:hAnsi="Arial" w:cs="Arial"/>
          <w:sz w:val="28"/>
          <w:szCs w:val="28"/>
          <w:rtl/>
          <w:lang w:bidi="fa-IR"/>
        </w:rPr>
      </w:pPr>
      <w:r>
        <w:rPr>
          <w:rFonts w:hint="default" w:ascii="Arial" w:hAnsi="Arial" w:cs="Arial"/>
          <w:sz w:val="28"/>
          <w:szCs w:val="28"/>
          <w:rtl/>
        </w:rPr>
        <w:t>واژه‌های کلیدی: کووید-</w:t>
      </w:r>
      <w:r>
        <w:rPr>
          <w:rFonts w:hint="default" w:ascii="Arial" w:hAnsi="Arial" w:cs="Arial"/>
          <w:sz w:val="28"/>
          <w:szCs w:val="28"/>
          <w:rtl/>
          <w:lang w:bidi="fa-IR"/>
        </w:rPr>
        <w:t>۱۹</w:t>
      </w:r>
      <w:r>
        <w:rPr>
          <w:rFonts w:hint="default" w:ascii="Arial" w:hAnsi="Arial" w:cs="Arial"/>
          <w:sz w:val="28"/>
          <w:szCs w:val="28"/>
          <w:rtl/>
        </w:rPr>
        <w:t xml:space="preserve">، </w:t>
      </w:r>
      <w:r>
        <w:rPr>
          <w:rFonts w:hint="default" w:ascii="Arial" w:hAnsi="Arial" w:cs="Arial"/>
          <w:sz w:val="28"/>
          <w:szCs w:val="28"/>
          <w:rtl/>
          <w:lang w:bidi="fa-IR"/>
        </w:rPr>
        <w:t>تظاهرات</w:t>
      </w:r>
      <w:r>
        <w:rPr>
          <w:rFonts w:hint="default" w:ascii="Arial" w:hAnsi="Arial" w:cs="Arial"/>
          <w:sz w:val="28"/>
          <w:szCs w:val="28"/>
          <w:rtl/>
          <w:lang w:val="en-US" w:bidi="fa-IR"/>
        </w:rPr>
        <w:t xml:space="preserve"> </w:t>
      </w:r>
      <w:r>
        <w:rPr>
          <w:rFonts w:hint="default" w:ascii="Arial" w:hAnsi="Arial" w:cs="Arial"/>
          <w:sz w:val="28"/>
          <w:szCs w:val="28"/>
          <w:rtl/>
        </w:rPr>
        <w:t xml:space="preserve">گوش و حلق و بینی، </w:t>
      </w:r>
      <w:r>
        <w:rPr>
          <w:rFonts w:hint="default" w:ascii="Arial" w:hAnsi="Arial" w:cs="Arial"/>
          <w:sz w:val="28"/>
          <w:szCs w:val="28"/>
          <w:rtl/>
          <w:lang w:bidi="fa-IR"/>
        </w:rPr>
        <w:t>سارس</w:t>
      </w:r>
      <w:r>
        <w:rPr>
          <w:rFonts w:hint="default" w:ascii="Arial" w:hAnsi="Arial" w:cs="Arial"/>
          <w:sz w:val="28"/>
          <w:szCs w:val="28"/>
          <w:rtl/>
          <w:lang w:val="en-US" w:bidi="fa-IR"/>
        </w:rPr>
        <w:t xml:space="preserve"> کووید 2</w:t>
      </w:r>
      <w:r>
        <w:rPr>
          <w:rFonts w:hint="default" w:ascii="Arial" w:hAnsi="Arial" w:cs="Arial"/>
          <w:sz w:val="28"/>
          <w:szCs w:val="28"/>
          <w:rtl/>
        </w:rPr>
        <w:t>،</w:t>
      </w:r>
    </w:p>
    <w:p w14:paraId="52A49AD9">
      <w:pPr>
        <w:bidi/>
        <w:spacing w:line="360" w:lineRule="auto"/>
        <w:jc w:val="both"/>
        <w:rPr>
          <w:rFonts w:hint="default" w:ascii="Arial" w:hAnsi="Arial" w:cs="Arial"/>
          <w:sz w:val="28"/>
          <w:szCs w:val="28"/>
          <w:rtl/>
          <w:lang w:bidi="fa-IR"/>
        </w:rPr>
      </w:pPr>
    </w:p>
    <w:p w14:paraId="2B0BE04E">
      <w:pPr>
        <w:bidi/>
        <w:spacing w:line="360" w:lineRule="auto"/>
        <w:jc w:val="both"/>
        <w:rPr>
          <w:rFonts w:hint="default" w:ascii="Arial" w:hAnsi="Arial" w:cs="Arial"/>
          <w:sz w:val="28"/>
          <w:szCs w:val="28"/>
          <w:rtl/>
          <w:lang w:bidi="fa-IR"/>
        </w:rPr>
      </w:pPr>
    </w:p>
    <w:p w14:paraId="3E198DDB">
      <w:pPr>
        <w:bidi/>
        <w:spacing w:line="360" w:lineRule="auto"/>
        <w:jc w:val="both"/>
        <w:rPr>
          <w:rFonts w:hint="default" w:ascii="Arial" w:hAnsi="Arial" w:cs="Arial"/>
          <w:b/>
          <w:bCs/>
          <w:sz w:val="28"/>
          <w:szCs w:val="28"/>
          <w:rtl/>
          <w:lang w:bidi="fa-IR"/>
        </w:rPr>
      </w:pPr>
      <w:r>
        <w:rPr>
          <w:rFonts w:hint="default" w:ascii="Arial" w:hAnsi="Arial" w:cs="Arial"/>
          <w:b/>
          <w:bCs/>
          <w:sz w:val="28"/>
          <w:szCs w:val="28"/>
          <w:rtl/>
          <w:lang w:bidi="fa-IR"/>
        </w:rPr>
        <w:t>مقدمه</w:t>
      </w:r>
    </w:p>
    <w:p w14:paraId="5C4FDB70">
      <w:pPr>
        <w:bidi/>
        <w:spacing w:line="360" w:lineRule="auto"/>
        <w:jc w:val="both"/>
        <w:rPr>
          <w:rFonts w:hint="default" w:ascii="Arial" w:hAnsi="Arial" w:cs="Arial"/>
          <w:sz w:val="28"/>
          <w:szCs w:val="28"/>
          <w:rtl/>
          <w:lang w:bidi="fa-IR"/>
        </w:rPr>
      </w:pPr>
      <w:r>
        <w:rPr>
          <w:rFonts w:hint="default" w:ascii="Arial" w:hAnsi="Arial" w:cs="Arial"/>
          <w:sz w:val="28"/>
          <w:szCs w:val="28"/>
          <w:rtl/>
          <w:lang w:bidi="fa-IR"/>
        </w:rPr>
        <w:t>از دسامبر ۲۰۱۹، همه‌گیری بیماری کروناویروس ۲۰۱۹ (</w:t>
      </w:r>
      <w:r>
        <w:rPr>
          <w:rFonts w:hint="default" w:ascii="Arial" w:hAnsi="Arial" w:cs="Arial"/>
          <w:sz w:val="28"/>
          <w:szCs w:val="28"/>
          <w:lang w:bidi="fa-IR"/>
        </w:rPr>
        <w:t>COVID-19</w:t>
      </w:r>
      <w:r>
        <w:rPr>
          <w:rFonts w:hint="default" w:ascii="Arial" w:hAnsi="Arial" w:cs="Arial"/>
          <w:sz w:val="28"/>
          <w:szCs w:val="28"/>
          <w:rtl/>
          <w:lang w:bidi="fa-IR"/>
        </w:rPr>
        <w:t>) ناشی از سندرم حاد تنفسی شدید کروناویروس ۲ (</w:t>
      </w:r>
      <w:r>
        <w:rPr>
          <w:rFonts w:hint="default" w:ascii="Arial" w:hAnsi="Arial" w:cs="Arial"/>
          <w:sz w:val="28"/>
          <w:szCs w:val="28"/>
          <w:lang w:bidi="fa-IR"/>
        </w:rPr>
        <w:t>SARS-CoV-2</w:t>
      </w:r>
      <w:r>
        <w:rPr>
          <w:rFonts w:hint="default" w:ascii="Arial" w:hAnsi="Arial" w:cs="Arial"/>
          <w:sz w:val="28"/>
          <w:szCs w:val="28"/>
          <w:rtl/>
          <w:lang w:bidi="fa-IR"/>
        </w:rPr>
        <w:t xml:space="preserve">) در سطح جهان گسترش یافت. طیف گسترده‌ای از شدت بیماری گزارش شد که از موارد بدون علامت یا با علائم خفیف تا اشکال شدید و تهدیدکننده زندگی پنومونی بینابینی که می‌توانست به سندرم زجر تنفسی حاد و مرگ منجر شود </w:t>
      </w:r>
      <w:r>
        <w:rPr>
          <w:rFonts w:hint="default" w:ascii="Arial" w:hAnsi="Arial" w:cs="Arial"/>
          <w:sz w:val="28"/>
          <w:szCs w:val="28"/>
          <w:rtl/>
          <w:lang w:bidi="fa-IR"/>
        </w:rPr>
        <w:fldChar w:fldCharType="begin">
          <w:fldData xml:space="preserve">PEVuZE5vdGU+PENpdGU+PEF1dGhvcj5NYW5uZWxsaTwvQXV0aG9yPjxZZWFyPjIwMjA8L1llYXI+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</w:fldData>
        </w:fldChar>
      </w:r>
      <w:r>
        <w:rPr>
          <w:rFonts w:hint="default" w:ascii="Arial" w:hAnsi="Arial" w:cs="Arial"/>
          <w:sz w:val="28"/>
          <w:szCs w:val="28"/>
          <w:rtl/>
          <w:lang w:bidi="fa-IR"/>
        </w:rPr>
        <w:instrText xml:space="preserve"> </w:instrText>
      </w:r>
      <w:r>
        <w:rPr>
          <w:rFonts w:hint="default" w:ascii="Arial" w:hAnsi="Arial" w:cs="Arial"/>
          <w:sz w:val="28"/>
          <w:szCs w:val="28"/>
          <w:lang w:bidi="fa-IR"/>
        </w:rPr>
        <w:instrText xml:space="preserve">ADDIN EN.CITE </w:instrText>
      </w:r>
      <w:r>
        <w:rPr>
          <w:rFonts w:hint="default" w:ascii="Arial" w:hAnsi="Arial" w:cs="Arial"/>
          <w:sz w:val="28"/>
          <w:szCs w:val="28"/>
          <w:lang w:bidi="fa-IR"/>
        </w:rPr>
        <w:fldChar w:fldCharType="begin">
          <w:fldData xml:space="preserve">PEVuZE5vdGU+PENpdGU+PEF1dGhvcj5NYW5uZWxsaTwvQXV0aG9yPjxZZWFyPjIwMjA8L1llYXI+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</w:fldData>
        </w:fldChar>
      </w:r>
      <w:r>
        <w:rPr>
          <w:rFonts w:hint="default" w:ascii="Arial" w:hAnsi="Arial" w:cs="Arial"/>
          <w:sz w:val="28"/>
          <w:szCs w:val="28"/>
          <w:lang w:bidi="fa-IR"/>
        </w:rPr>
        <w:instrText xml:space="preserve"> ADDIN EN.CITE.DATA </w:instrText>
      </w:r>
      <w:r>
        <w:rPr>
          <w:rFonts w:hint="default" w:ascii="Arial" w:hAnsi="Arial" w:cs="Arial"/>
          <w:sz w:val="28"/>
          <w:szCs w:val="28"/>
          <w:lang w:bidi="fa-IR"/>
        </w:rPr>
        <w:fldChar w:fldCharType="end"/>
      </w:r>
      <w:r>
        <w:rPr>
          <w:rFonts w:hint="default" w:ascii="Arial" w:hAnsi="Arial" w:cs="Arial"/>
          <w:sz w:val="28"/>
          <w:szCs w:val="28"/>
          <w:rtl/>
          <w:lang w:bidi="fa-IR"/>
        </w:rPr>
        <w:fldChar w:fldCharType="separate"/>
      </w:r>
      <w:r>
        <w:rPr>
          <w:rFonts w:hint="default" w:ascii="Arial" w:hAnsi="Arial" w:cs="Arial"/>
          <w:sz w:val="28"/>
          <w:szCs w:val="28"/>
          <w:rtl/>
          <w:lang w:bidi="fa-IR"/>
        </w:rPr>
        <w:t>(1-3)</w:t>
      </w:r>
      <w:r>
        <w:rPr>
          <w:rFonts w:hint="default" w:ascii="Arial" w:hAnsi="Arial" w:cs="Arial"/>
          <w:sz w:val="28"/>
          <w:szCs w:val="28"/>
          <w:rtl/>
          <w:lang w:bidi="fa-IR"/>
        </w:rPr>
        <w:fldChar w:fldCharType="end"/>
      </w:r>
      <w:r>
        <w:rPr>
          <w:rFonts w:hint="default" w:ascii="Arial" w:hAnsi="Arial" w:cs="Arial"/>
          <w:sz w:val="28"/>
          <w:szCs w:val="28"/>
          <w:rtl/>
          <w:lang w:bidi="fa-IR"/>
        </w:rPr>
        <w:t>.</w:t>
      </w:r>
    </w:p>
    <w:p w14:paraId="4DA84713">
      <w:pPr>
        <w:bidi/>
        <w:spacing w:line="360" w:lineRule="auto"/>
        <w:jc w:val="both"/>
        <w:rPr>
          <w:rFonts w:hint="default" w:ascii="Arial" w:hAnsi="Arial" w:cs="Arial"/>
          <w:sz w:val="28"/>
          <w:szCs w:val="28"/>
          <w:rtl/>
          <w:lang w:bidi="fa-IR"/>
        </w:rPr>
      </w:pPr>
      <w:r>
        <w:rPr>
          <w:rFonts w:hint="default" w:ascii="Arial" w:hAnsi="Arial" w:cs="Arial"/>
          <w:sz w:val="28"/>
          <w:szCs w:val="28"/>
          <w:rtl/>
          <w:lang w:bidi="fa-IR"/>
        </w:rPr>
        <w:t>اکثر بیماران مبتلا به</w:t>
      </w:r>
      <w:r>
        <w:rPr>
          <w:rFonts w:hint="default" w:ascii="Arial" w:hAnsi="Arial" w:cs="Arial"/>
          <w:sz w:val="28"/>
          <w:szCs w:val="28"/>
          <w:lang w:bidi="fa-IR"/>
        </w:rPr>
        <w:t xml:space="preserve"> SARS-CoV-2 </w:t>
      </w:r>
      <w:r>
        <w:rPr>
          <w:rFonts w:hint="default" w:ascii="Arial" w:hAnsi="Arial" w:cs="Arial"/>
          <w:sz w:val="28"/>
          <w:szCs w:val="28"/>
          <w:rtl/>
          <w:lang w:bidi="fa-IR"/>
        </w:rPr>
        <w:t xml:space="preserve">مثبت نیازی به بستری شدن در بیمارستان نداشته و علائم خفیف دارند یا بدون علامت هستند. در میان این علائم خفیف، مشاهده شده است که تغییرات در حس بویایی و چشایی در اوایل بیماری رخ می‌دهد </w:t>
      </w:r>
      <w:r>
        <w:rPr>
          <w:rFonts w:hint="default" w:ascii="Arial" w:hAnsi="Arial" w:cs="Arial"/>
          <w:sz w:val="28"/>
          <w:szCs w:val="28"/>
          <w:rtl/>
          <w:lang w:bidi="fa-IR"/>
        </w:rPr>
        <w:fldChar w:fldCharType="begin"/>
      </w:r>
      <w:r>
        <w:rPr>
          <w:rFonts w:hint="default" w:ascii="Arial" w:hAnsi="Arial" w:cs="Arial"/>
          <w:sz w:val="28"/>
          <w:szCs w:val="28"/>
          <w:rtl/>
          <w:lang w:bidi="fa-IR"/>
        </w:rPr>
        <w:instrText xml:space="preserve"> </w:instrText>
      </w:r>
      <w:r>
        <w:rPr>
          <w:rFonts w:hint="default" w:ascii="Arial" w:hAnsi="Arial" w:cs="Arial"/>
          <w:sz w:val="28"/>
          <w:szCs w:val="28"/>
          <w:lang w:bidi="fa-IR"/>
        </w:rPr>
        <w:instrText xml:space="preserve">ADDIN EN.CITE &lt;EndNote&gt;&lt;Cite&gt;&lt;Author&gt;Bianco&lt;/Author&gt;&lt;Year&gt;2021&lt;/Year&gt;&lt;RecNum&gt;3365&lt;/RecNum&gt;&lt;DisplayText&gt;(4)&lt;/DisplayText&gt;&lt;record&gt;&lt;rec-number&gt;3365&lt;/rec-number&gt;&lt;foreign-keys&gt;&lt;key app="EN" db-id="9f2ws2vx0s2xrlew22qvtpt15pwrpzv9fexa" timestamp="1758024661"&gt;3</w:instrText>
      </w:r>
      <w:r>
        <w:rPr>
          <w:rFonts w:hint="default" w:ascii="Arial" w:hAnsi="Arial" w:cs="Arial"/>
          <w:sz w:val="28"/>
          <w:szCs w:val="28"/>
          <w:rtl/>
          <w:lang w:bidi="fa-IR"/>
        </w:rPr>
        <w:instrText xml:space="preserve">365&lt;/</w:instrText>
      </w:r>
      <w:r>
        <w:rPr>
          <w:rFonts w:hint="default" w:ascii="Arial" w:hAnsi="Arial" w:cs="Arial"/>
          <w:sz w:val="28"/>
          <w:szCs w:val="28"/>
          <w:lang w:bidi="fa-IR"/>
        </w:rPr>
        <w:instrText xml:space="preserve">key&gt;&lt;/foreign-keys&gt;&lt;ref-type name="Journal Article"&gt;17&lt;/ref-type&gt;&lt;contributors&gt;&lt;authors&gt;&lt;author&gt;Bianco, Maria Rita&lt;/author&gt;&lt;author&gt;Modica, Domenico M&lt;/author&gt;&lt;author&gt;Drago, Gaetano D&lt;/author&gt;&lt;author&gt;Azzolina, Alfio&lt;/author&gt;&lt;author&gt;Mattina, Gianfranco</w:instrText>
      </w:r>
      <w:r>
        <w:rPr>
          <w:rFonts w:hint="default" w:ascii="Arial" w:hAnsi="Arial" w:cs="Arial"/>
          <w:sz w:val="28"/>
          <w:szCs w:val="28"/>
          <w:rtl/>
          <w:lang w:bidi="fa-IR"/>
        </w:rPr>
        <w:instrText xml:space="preserve">&lt;/</w:instrText>
      </w:r>
      <w:r>
        <w:rPr>
          <w:rFonts w:hint="default" w:ascii="Arial" w:hAnsi="Arial" w:cs="Arial"/>
          <w:sz w:val="28"/>
          <w:szCs w:val="28"/>
          <w:lang w:bidi="fa-IR"/>
        </w:rPr>
        <w:instrText xml:space="preserve">author&gt;&lt;author&gt;De Natale, Massimo&lt;/author&gt;&lt;author&gt;Rossi, Giuseppe&lt;/author&gt;&lt;author&gt;Amata, Marta&lt;/author&gt;&lt;author&gt;Canzoneri, Gaspare&lt;/author&gt;&lt;author&gt;Manganaro, Giovanni&lt;/author&gt;&lt;/authors&gt;&lt;/contributors&gt;&lt;titles&gt;&lt;title&gt;Alteration of smell and taste in asymptomatic and symptomatic COVID-19 patients in Sicily, Italy&lt;/title&gt;&lt;secondary-title&gt;Ear, Nose &amp;amp; Throat Journal&lt;/secondary-title&gt;&lt;/titles&gt;&lt;periodical&gt;&lt;full-title&gt;Ear, Nose &amp;amp; Throat Journal&lt;/full-title&gt;&lt;/periodical&gt;&lt;pages&gt;182S-185S&lt;/pages&gt;&lt;volume&gt;100&lt;</w:instrText>
      </w:r>
      <w:r>
        <w:rPr>
          <w:rFonts w:hint="default" w:ascii="Arial" w:hAnsi="Arial" w:cs="Arial"/>
          <w:sz w:val="28"/>
          <w:szCs w:val="28"/>
          <w:rtl/>
          <w:lang w:bidi="fa-IR"/>
        </w:rPr>
        <w:instrText xml:space="preserve">/</w:instrText>
      </w:r>
      <w:r>
        <w:rPr>
          <w:rFonts w:hint="default" w:ascii="Arial" w:hAnsi="Arial" w:cs="Arial"/>
          <w:sz w:val="28"/>
          <w:szCs w:val="28"/>
          <w:lang w:bidi="fa-IR"/>
        </w:rPr>
        <w:instrText xml:space="preserve">volume&gt;&lt;number&gt;2_suppl&lt;/number&gt;&lt;dates&gt;&lt;year&gt;2021&lt;/year&gt;&lt;/dates&gt;&lt;isbn&gt;0145-5613&lt;/isbn&gt;&lt;urls&gt;&lt;/urls&gt;&lt;/record&gt;&lt;/Cite&gt;&lt;/EndNote&gt;</w:instrText>
      </w:r>
      <w:r>
        <w:rPr>
          <w:rFonts w:hint="default" w:ascii="Arial" w:hAnsi="Arial" w:cs="Arial"/>
          <w:sz w:val="28"/>
          <w:szCs w:val="28"/>
          <w:rtl/>
          <w:lang w:bidi="fa-IR"/>
        </w:rPr>
        <w:fldChar w:fldCharType="separate"/>
      </w:r>
      <w:r>
        <w:rPr>
          <w:rFonts w:hint="default" w:ascii="Arial" w:hAnsi="Arial" w:cs="Arial"/>
          <w:sz w:val="28"/>
          <w:szCs w:val="28"/>
          <w:rtl/>
          <w:lang w:bidi="fa-IR"/>
        </w:rPr>
        <w:t>(4)</w:t>
      </w:r>
      <w:r>
        <w:rPr>
          <w:rFonts w:hint="default" w:ascii="Arial" w:hAnsi="Arial" w:cs="Arial"/>
          <w:sz w:val="28"/>
          <w:szCs w:val="28"/>
          <w:rtl/>
          <w:lang w:bidi="fa-IR"/>
        </w:rPr>
        <w:fldChar w:fldCharType="end"/>
      </w:r>
      <w:r>
        <w:rPr>
          <w:rFonts w:hint="default" w:ascii="Arial" w:hAnsi="Arial" w:cs="Arial"/>
          <w:sz w:val="28"/>
          <w:szCs w:val="28"/>
          <w:rtl/>
          <w:lang w:bidi="fa-IR"/>
        </w:rPr>
        <w:t>.</w:t>
      </w:r>
    </w:p>
    <w:p w14:paraId="44E736EE">
      <w:pPr>
        <w:bidi/>
        <w:spacing w:line="360" w:lineRule="auto"/>
        <w:jc w:val="both"/>
        <w:rPr>
          <w:rFonts w:hint="default" w:ascii="Arial" w:hAnsi="Arial" w:cs="Arial"/>
          <w:sz w:val="28"/>
          <w:szCs w:val="28"/>
          <w:lang w:bidi="fa-IR"/>
        </w:rPr>
      </w:pPr>
      <w:r>
        <w:rPr>
          <w:rFonts w:hint="default" w:ascii="Arial" w:hAnsi="Arial" w:cs="Arial"/>
          <w:sz w:val="28"/>
          <w:szCs w:val="28"/>
          <w:rtl/>
          <w:lang w:bidi="fa-IR"/>
        </w:rPr>
        <w:t xml:space="preserve">در حالی که شدت برخی از علائم با گذشت زمان کاهش می‌یابند، برخی دیگر اثرات فاجعه‌بار بلندمدتی دارند که حتی پس از بهبودی از عفونت حاد نیز ادامه می‌یابند و منجر به مرگ یا اختلال قابل توجه در عملکردها می‌شوند. «کووید طولانی» یا «سندرم پس از کووید» به این تداوم غیرمعمول و غیرمنتظره علائم مدت‌ها پس از بهبودی از بیماری اولیه اشاره دارد </w:t>
      </w:r>
      <w:r>
        <w:rPr>
          <w:rFonts w:hint="default" w:ascii="Arial" w:hAnsi="Arial" w:cs="Arial"/>
          <w:sz w:val="28"/>
          <w:szCs w:val="28"/>
          <w:rtl/>
          <w:lang w:bidi="fa-IR"/>
        </w:rPr>
        <w:fldChar w:fldCharType="begin"/>
      </w:r>
      <w:r>
        <w:rPr>
          <w:rFonts w:hint="default" w:ascii="Arial" w:hAnsi="Arial" w:cs="Arial"/>
          <w:sz w:val="28"/>
          <w:szCs w:val="28"/>
          <w:rtl/>
          <w:lang w:bidi="fa-IR"/>
        </w:rPr>
        <w:instrText xml:space="preserve"> </w:instrText>
      </w:r>
      <w:r>
        <w:rPr>
          <w:rFonts w:hint="default" w:ascii="Arial" w:hAnsi="Arial" w:cs="Arial"/>
          <w:sz w:val="28"/>
          <w:szCs w:val="28"/>
          <w:lang w:bidi="fa-IR"/>
        </w:rPr>
        <w:instrText xml:space="preserve">ADDIN EN.CITE &lt;EndNote&gt;&lt;Cite&gt;&lt;Author&gt;Excellence&lt;/Author&gt;&lt;Year&gt;2020&lt;/Year&gt;&lt;RecNum&gt;3366&lt;/RecNum&gt;&lt;DisplayText&gt;(5)&lt;/DisplayText&gt;&lt;record&gt;&lt;rec-number&gt;3366&lt;/rec-number&gt;&lt;foreign-keys&gt;&lt;key app="EN" db-id="9f2ws2vx0s2xrlew22qvtpt15pwrpzv9fexa" timestamp="175802471</w:instrText>
      </w:r>
      <w:r>
        <w:rPr>
          <w:rFonts w:hint="default" w:ascii="Arial" w:hAnsi="Arial" w:cs="Arial"/>
          <w:sz w:val="28"/>
          <w:szCs w:val="28"/>
          <w:rtl/>
          <w:lang w:bidi="fa-IR"/>
        </w:rPr>
        <w:instrText xml:space="preserve">1"&gt;3366&lt;/</w:instrText>
      </w:r>
      <w:r>
        <w:rPr>
          <w:rFonts w:hint="default" w:ascii="Arial" w:hAnsi="Arial" w:cs="Arial"/>
          <w:sz w:val="28"/>
          <w:szCs w:val="28"/>
          <w:lang w:bidi="fa-IR"/>
        </w:rPr>
        <w:instrText xml:space="preserve">key&gt;&lt;/foreign-keys&gt;&lt;ref-type name="Journal Article"&gt;17&lt;/ref-type&gt;&lt;contributors&gt;&lt;authors&gt;&lt;author&gt;Excellence, Care&lt;/author&gt;&lt;/authors&gt;&lt;/contributors&gt;&lt;titles&gt;&lt;title&gt;COVID-19 rapid guideline: managing the long-term effects of COVID-19&lt;/title&gt;&lt;secondary-title&gt;NG188&lt;/secondary-title&gt;&lt;/titles&gt;&lt;periodical&gt;&lt;full-title&gt;NG188&lt;/full-title&gt;&lt;/periodical&gt;&lt;dates&gt;&lt;year&gt;2020&lt;/year&gt;&lt;/dates&gt;&lt;urls&gt;&lt;/urls&gt;&lt;/record&gt;&lt;/Cite&gt;&lt;/EndNote&gt;</w:instrText>
      </w:r>
      <w:r>
        <w:rPr>
          <w:rFonts w:hint="default" w:ascii="Arial" w:hAnsi="Arial" w:cs="Arial"/>
          <w:sz w:val="28"/>
          <w:szCs w:val="28"/>
          <w:rtl/>
          <w:lang w:bidi="fa-IR"/>
        </w:rPr>
        <w:fldChar w:fldCharType="separate"/>
      </w:r>
      <w:r>
        <w:rPr>
          <w:rFonts w:hint="default" w:ascii="Arial" w:hAnsi="Arial" w:cs="Arial"/>
          <w:sz w:val="28"/>
          <w:szCs w:val="28"/>
          <w:rtl/>
          <w:lang w:bidi="fa-IR"/>
        </w:rPr>
        <w:t>(5)</w:t>
      </w:r>
      <w:r>
        <w:rPr>
          <w:rFonts w:hint="default" w:ascii="Arial" w:hAnsi="Arial" w:cs="Arial"/>
          <w:sz w:val="28"/>
          <w:szCs w:val="28"/>
          <w:rtl/>
          <w:lang w:bidi="fa-IR"/>
        </w:rPr>
        <w:fldChar w:fldCharType="end"/>
      </w:r>
      <w:r>
        <w:rPr>
          <w:rFonts w:hint="default" w:ascii="Arial" w:hAnsi="Arial" w:cs="Arial"/>
          <w:sz w:val="28"/>
          <w:szCs w:val="28"/>
          <w:rtl/>
          <w:lang w:bidi="fa-IR"/>
        </w:rPr>
        <w:t>. کووید طولانی با مجموعه‌ای از علائم گوش و حلق و بینی، از جمله وزوز گوش، کاهش شنوایی حسی-عصبی (</w:t>
      </w:r>
      <w:r>
        <w:rPr>
          <w:rFonts w:hint="default" w:ascii="Arial" w:hAnsi="Arial" w:cs="Arial"/>
          <w:sz w:val="28"/>
          <w:szCs w:val="28"/>
          <w:lang w:bidi="fa-IR"/>
        </w:rPr>
        <w:t>SNHL</w:t>
      </w:r>
      <w:r>
        <w:rPr>
          <w:rStyle w:val="4"/>
          <w:rFonts w:hint="default" w:ascii="Arial" w:hAnsi="Arial" w:cs="Arial"/>
          <w:sz w:val="28"/>
          <w:szCs w:val="28"/>
          <w:rtl/>
          <w:lang w:bidi="fa-IR"/>
        </w:rPr>
        <w:footnoteReference w:id="0"/>
      </w:r>
      <w:r>
        <w:rPr>
          <w:rFonts w:hint="default" w:ascii="Arial" w:hAnsi="Arial" w:cs="Arial"/>
          <w:sz w:val="28"/>
          <w:szCs w:val="28"/>
          <w:rtl/>
          <w:lang w:bidi="fa-IR"/>
        </w:rPr>
        <w:t xml:space="preserve">)، سرگیجه، گرفتگی بینی، احساس ناراحتی در ناحیه ی سینوس و بینی، هیپوسمی/آنوسمی، اختلال در حس چشایی، گلودرد، سرفه خشک، تنگی نفس، اختلال بلع و گرفتگی صدا همراه است </w:t>
      </w:r>
      <w:r>
        <w:rPr>
          <w:rFonts w:hint="default" w:ascii="Arial" w:hAnsi="Arial" w:cs="Arial"/>
          <w:sz w:val="28"/>
          <w:szCs w:val="28"/>
          <w:rtl/>
          <w:lang w:bidi="fa-IR"/>
        </w:rPr>
        <w:fldChar w:fldCharType="begin"/>
      </w:r>
      <w:r>
        <w:rPr>
          <w:rFonts w:hint="default" w:ascii="Arial" w:hAnsi="Arial" w:cs="Arial"/>
          <w:sz w:val="28"/>
          <w:szCs w:val="28"/>
          <w:rtl/>
          <w:lang w:bidi="fa-IR"/>
        </w:rPr>
        <w:instrText xml:space="preserve"> </w:instrText>
      </w:r>
      <w:r>
        <w:rPr>
          <w:rFonts w:hint="default" w:ascii="Arial" w:hAnsi="Arial" w:cs="Arial"/>
          <w:sz w:val="28"/>
          <w:szCs w:val="28"/>
          <w:lang w:bidi="fa-IR"/>
        </w:rPr>
        <w:instrText xml:space="preserve">ADDIN EN.CITE &lt;EndNote&gt;&lt;Cite&gt;&lt;Author&gt;Sharma&lt;/Author&gt;&lt;Year&gt;2024&lt;/Year&gt;&lt;RecNum&gt;3367&lt;/RecNum&gt;&lt;DisplayText&gt;(6, 7)&lt;/DisplayText&gt;&lt;record&gt;&lt;rec-number&gt;3367&lt;/rec-number&gt;&lt;foreign-keys&gt;&lt;key app="EN" db-id="9f2ws2vx0s2xrlew22qvtpt15pwrpzv9fexa" timestamp="1758024831</w:instrText>
      </w:r>
      <w:r>
        <w:rPr>
          <w:rFonts w:hint="default" w:ascii="Arial" w:hAnsi="Arial" w:cs="Arial"/>
          <w:sz w:val="28"/>
          <w:szCs w:val="28"/>
          <w:rtl/>
          <w:lang w:bidi="fa-IR"/>
        </w:rPr>
        <w:instrText xml:space="preserve">"&gt;3367&lt;/</w:instrText>
      </w:r>
      <w:r>
        <w:rPr>
          <w:rFonts w:hint="default" w:ascii="Arial" w:hAnsi="Arial" w:cs="Arial"/>
          <w:sz w:val="28"/>
          <w:szCs w:val="28"/>
          <w:lang w:bidi="fa-IR"/>
        </w:rPr>
        <w:instrText xml:space="preserve">key&gt;&lt;/foreign-keys&gt;&lt;ref-type name="Journal Article"&gt;17&lt;/ref-type&gt;&lt;contributors&gt;&lt;authors&gt;&lt;author&gt;Sharma, Akriti&lt;/author&gt;&lt;author&gt;Jakhar, Rohit Kumar&lt;/author&gt;&lt;author&gt;Kakkar, Vikas&lt;/author&gt;&lt;author&gt;Singal, Garima&lt;/author&gt;&lt;/authors&gt;&lt;/contributors&gt;&lt;titles&gt;&lt;title&gt;Persistent ENT Manifestations in Individuals who Recovered from COVID-19: A Systematic Review&lt;/title&gt;&lt;secondary-title&gt;International Archives of Otorhinolaryngology&lt;/secondary-title&gt;&lt;/titles&gt;&lt;periodical&gt;&lt;full-title&gt;International Archives of Otorhinolaryngology&lt;/full-title&gt;&lt;/periodical&gt;&lt;pages&gt;e697-e701&lt;/pages&gt;&lt;volume&gt;28&lt;/volume&gt;&lt;number&gt;04&lt;/number&gt;&lt;dates&gt;&lt;year&gt;2024&lt;/year&gt;&lt;/dates&gt;&lt;isbn&gt;1809-9777&lt;/isbn&gt;&lt;urls&gt;&lt;/urls&gt;&lt;/record&gt;&lt;/Cite&gt;&lt;Cite&gt;&lt;Author&gt;Borah&lt;/Author&gt;&lt;Year&gt;2022&lt;/Year&gt;&lt;RecNum&gt;3368&lt;/RecNum&gt;&lt;record&gt;&lt;rec-number&gt;3368&lt;/rec-number&gt;&lt;foreign-keys&gt;&lt;key app="EN" db-id="9f2ws2vx0s2xrlew22qvtpt15pwrpzv9fexa" timestamp="1758024853"&gt;3368&lt;/key&gt;&lt;/foreign-keys&gt;&lt;ref-type name="Journal Article"&gt;17&lt;/ref-type&gt;&lt;contributors&gt;&lt;authors&gt;&lt;author&gt;Borah, Hironya&lt;/author&gt;&lt;author&gt;Das, Sunita&lt;/author&gt;&lt;author&gt;Goswami, Abhilasha&lt;/author&gt;&lt;/authors&gt;&lt;/contributors&gt;&lt;titles&gt;&lt;title&gt;Otorhinolaryngological manifestations and its management in COVID 19 patients&lt;/title&gt;&lt;secondary-title&gt;Indian Journal of Otolaryngology and Head &amp;amp; Neck</w:instrText>
      </w:r>
      <w:r>
        <w:rPr>
          <w:rFonts w:hint="default" w:ascii="Arial" w:hAnsi="Arial" w:cs="Arial"/>
          <w:sz w:val="28"/>
          <w:szCs w:val="28"/>
          <w:rtl/>
          <w:lang w:bidi="fa-IR"/>
        </w:rPr>
        <w:instrText xml:space="preserve"> </w:instrText>
      </w:r>
      <w:r>
        <w:rPr>
          <w:rFonts w:hint="default" w:ascii="Arial" w:hAnsi="Arial" w:cs="Arial"/>
          <w:sz w:val="28"/>
          <w:szCs w:val="28"/>
          <w:lang w:bidi="fa-IR"/>
        </w:rPr>
        <w:instrText xml:space="preserve">Surgery&lt;/secondary-title&gt;&lt;/titles&gt;&lt;periodical&gt;&lt;full-title&gt;Indian journal of otolaryngology and head &amp;amp; neck surgery&lt;/full-title&gt;&lt;/periodical&gt;&lt;pages&gt;3391-3394&lt;/pages&gt;&lt;volume&gt;74&lt;/volume&gt;&lt;number&gt;Suppl 2&lt;/number&gt;&lt;dates&gt;&lt;year&gt;2022&lt;/year&gt;&lt;/dates&gt;&lt;isbn&gt;2231-</w:instrText>
      </w:r>
      <w:r>
        <w:rPr>
          <w:rFonts w:hint="default" w:ascii="Arial" w:hAnsi="Arial" w:cs="Arial"/>
          <w:sz w:val="28"/>
          <w:szCs w:val="28"/>
          <w:rtl/>
          <w:lang w:bidi="fa-IR"/>
        </w:rPr>
        <w:instrText xml:space="preserve">3796&lt;/</w:instrText>
      </w:r>
      <w:r>
        <w:rPr>
          <w:rFonts w:hint="default" w:ascii="Arial" w:hAnsi="Arial" w:cs="Arial"/>
          <w:sz w:val="28"/>
          <w:szCs w:val="28"/>
          <w:lang w:bidi="fa-IR"/>
        </w:rPr>
        <w:instrText xml:space="preserve">isbn&gt;&lt;urls&gt;&lt;/urls&gt;&lt;/record&gt;&lt;/Cite&gt;&lt;/EndNote&gt;</w:instrText>
      </w:r>
      <w:r>
        <w:rPr>
          <w:rFonts w:hint="default" w:ascii="Arial" w:hAnsi="Arial" w:cs="Arial"/>
          <w:sz w:val="28"/>
          <w:szCs w:val="28"/>
          <w:rtl/>
          <w:lang w:bidi="fa-IR"/>
        </w:rPr>
        <w:fldChar w:fldCharType="separate"/>
      </w:r>
      <w:r>
        <w:rPr>
          <w:rFonts w:hint="default" w:ascii="Arial" w:hAnsi="Arial" w:cs="Arial"/>
          <w:sz w:val="28"/>
          <w:szCs w:val="28"/>
          <w:rtl/>
          <w:lang w:bidi="fa-IR"/>
        </w:rPr>
        <w:t>(6, 7)</w:t>
      </w:r>
      <w:r>
        <w:rPr>
          <w:rFonts w:hint="default" w:ascii="Arial" w:hAnsi="Arial" w:cs="Arial"/>
          <w:sz w:val="28"/>
          <w:szCs w:val="28"/>
          <w:rtl/>
          <w:lang w:bidi="fa-IR"/>
        </w:rPr>
        <w:fldChar w:fldCharType="end"/>
      </w:r>
      <w:r>
        <w:rPr>
          <w:rFonts w:hint="default" w:ascii="Arial" w:hAnsi="Arial" w:cs="Arial"/>
          <w:sz w:val="28"/>
          <w:szCs w:val="28"/>
          <w:rtl/>
          <w:lang w:bidi="fa-IR"/>
        </w:rPr>
        <w:t xml:space="preserve">. علیرغم وجود این شواهد، همچنان مطالعات در مورد شیوع یافته های گوس و حلق و بینی کووید-19 و ارتباط آنها با شدت بیماری محدود است. بنابراین هدف از این مطالعه بررسی شیوع علائم گوش، حلق و بینی در بیماران مبتلا به کووید-۱۹ و تعیین ارتباط این علائم با شدت بیماری بود. </w:t>
      </w:r>
    </w:p>
    <w:p w14:paraId="48F60A7E">
      <w:pPr>
        <w:bidi/>
        <w:spacing w:line="360" w:lineRule="auto"/>
        <w:jc w:val="both"/>
        <w:rPr>
          <w:rFonts w:hint="default" w:ascii="Arial" w:hAnsi="Arial" w:cs="Arial"/>
          <w:sz w:val="28"/>
          <w:szCs w:val="28"/>
          <w:rtl/>
          <w:lang w:bidi="fa-IR"/>
        </w:rPr>
      </w:pPr>
    </w:p>
    <w:p w14:paraId="3B121097">
      <w:pPr>
        <w:bidi/>
        <w:spacing w:line="360" w:lineRule="auto"/>
        <w:jc w:val="both"/>
        <w:rPr>
          <w:rFonts w:hint="default" w:ascii="Arial" w:hAnsi="Arial" w:cs="Arial"/>
          <w:b/>
          <w:bCs/>
          <w:sz w:val="28"/>
          <w:szCs w:val="28"/>
          <w:rtl/>
          <w:lang w:bidi="fa-IR"/>
        </w:rPr>
      </w:pPr>
      <w:r>
        <w:rPr>
          <w:rFonts w:hint="default" w:ascii="Arial" w:hAnsi="Arial" w:cs="Arial"/>
          <w:b/>
          <w:bCs/>
          <w:sz w:val="28"/>
          <w:szCs w:val="28"/>
          <w:rtl/>
          <w:lang w:bidi="fa-IR"/>
        </w:rPr>
        <w:t>روش اجرا</w:t>
      </w:r>
    </w:p>
    <w:p w14:paraId="663D2A25">
      <w:pPr>
        <w:bidi/>
        <w:spacing w:line="360" w:lineRule="auto"/>
        <w:jc w:val="both"/>
        <w:rPr>
          <w:rFonts w:hint="default" w:ascii="Arial" w:hAnsi="Arial" w:cs="Arial"/>
          <w:sz w:val="28"/>
          <w:szCs w:val="28"/>
          <w:rtl/>
        </w:rPr>
      </w:pPr>
      <w:r>
        <w:rPr>
          <w:rFonts w:hint="default" w:ascii="Arial" w:hAnsi="Arial" w:cs="Arial"/>
          <w:sz w:val="28"/>
          <w:szCs w:val="28"/>
          <w:rtl/>
        </w:rPr>
        <w:t>این مطالعه گذشته‌ نگر مقطعی، با هدف بررسی شیوع علائم گوش، حلق و بینی در بیماران مبتلا به کووید-</w:t>
      </w:r>
      <w:r>
        <w:rPr>
          <w:rFonts w:hint="default" w:ascii="Arial" w:hAnsi="Arial" w:cs="Arial"/>
          <w:sz w:val="28"/>
          <w:szCs w:val="28"/>
          <w:rtl/>
          <w:lang w:bidi="fa-IR"/>
        </w:rPr>
        <w:t>۱۹</w:t>
      </w:r>
      <w:r>
        <w:rPr>
          <w:rFonts w:hint="default" w:ascii="Arial" w:hAnsi="Arial" w:cs="Arial"/>
          <w:sz w:val="28"/>
          <w:szCs w:val="28"/>
          <w:rtl/>
        </w:rPr>
        <w:t xml:space="preserve"> و تعیین ارتباط این علائم با شدت بیماری بر روی کلیه بیماران بستری به بیمارستان های تابعه دانشگاه آزاد اسلامی تهران در سال 1402-1403 انجام شد.</w:t>
      </w:r>
    </w:p>
    <w:p w14:paraId="1C0E2FF9">
      <w:pPr>
        <w:bidi/>
        <w:spacing w:line="360" w:lineRule="auto"/>
        <w:jc w:val="both"/>
        <w:rPr>
          <w:rFonts w:hint="default" w:ascii="Arial" w:hAnsi="Arial" w:cs="Arial"/>
          <w:sz w:val="28"/>
          <w:szCs w:val="28"/>
          <w:rtl/>
          <w:lang w:bidi="fa-IR"/>
        </w:rPr>
      </w:pPr>
      <w:r>
        <w:rPr>
          <w:rFonts w:hint="default" w:ascii="Arial" w:hAnsi="Arial" w:cs="Arial"/>
          <w:sz w:val="28"/>
          <w:szCs w:val="28"/>
          <w:rtl/>
        </w:rPr>
        <w:t xml:space="preserve">معیارهای ورود به مطالعه شامل سن بالای 18 سال، مراجعه به بیمارستان های دانشگاه در تاریخ مذکور، و تائید ابتلا به کووید 19 بر اساس تست </w:t>
      </w:r>
      <w:r>
        <w:rPr>
          <w:rFonts w:hint="default" w:ascii="Arial" w:hAnsi="Arial" w:cs="Arial"/>
          <w:sz w:val="28"/>
          <w:szCs w:val="28"/>
          <w:lang w:bidi="fa-IR"/>
        </w:rPr>
        <w:t>PCR</w:t>
      </w:r>
      <w:r>
        <w:rPr>
          <w:rFonts w:hint="default" w:ascii="Arial" w:hAnsi="Arial" w:cs="Arial"/>
          <w:sz w:val="28"/>
          <w:szCs w:val="28"/>
          <w:rtl/>
          <w:lang w:bidi="fa-IR"/>
        </w:rPr>
        <w:t xml:space="preserve"> یا سی تی اسکن ریه بود. معیارهای خروج از مطالعه شامل سن زیر 18 سال، تکمیل نبودن پرونده ی بیماران، عدم تشکیل پرونده برای بیمار، عدم وجود تست </w:t>
      </w:r>
      <w:r>
        <w:rPr>
          <w:rFonts w:hint="default" w:ascii="Arial" w:hAnsi="Arial" w:cs="Arial"/>
          <w:sz w:val="28"/>
          <w:szCs w:val="28"/>
          <w:lang w:bidi="fa-IR"/>
        </w:rPr>
        <w:t>PCR</w:t>
      </w:r>
      <w:r>
        <w:rPr>
          <w:rFonts w:hint="default" w:ascii="Arial" w:hAnsi="Arial" w:cs="Arial"/>
          <w:sz w:val="28"/>
          <w:szCs w:val="28"/>
          <w:rtl/>
          <w:lang w:bidi="fa-IR"/>
        </w:rPr>
        <w:t xml:space="preserve"> یا سی تی اسکن ریه یا منفی بودن این تست ها بود.</w:t>
      </w:r>
    </w:p>
    <w:p w14:paraId="6A3EEDB7">
      <w:pPr>
        <w:bidi/>
        <w:spacing w:line="360" w:lineRule="auto"/>
        <w:jc w:val="both"/>
        <w:rPr>
          <w:rFonts w:hint="default" w:ascii="Arial" w:hAnsi="Arial" w:cs="Arial"/>
          <w:sz w:val="28"/>
          <w:szCs w:val="28"/>
          <w:rtl/>
          <w:lang w:bidi="fa-IR"/>
        </w:rPr>
      </w:pPr>
      <w:r>
        <w:rPr>
          <w:rFonts w:hint="default" w:ascii="Arial" w:hAnsi="Arial" w:cs="Arial"/>
          <w:sz w:val="28"/>
          <w:szCs w:val="28"/>
          <w:rtl/>
        </w:rPr>
        <w:t xml:space="preserve">در بازه ی مذکور، تعداد 269 پرونده که دارای معیارهای ورود به مطالعه بودند به صورت در دسترس وارد مطالعه شدند که پس از بررسی و اعمال معیارهای ورود و خروج، 197 پرونده وارد بررسی نهایی شد. اطلاعات بیماران شامل اطلاعات دموگرافیک (سن و جنس) و اطلاعات بالینی (علائم و شدت علائم مربوط به گوش و حلق و بینی) استخراج و در فرم جمع آوری اطلاعات ثبت ‌گردید. در نهایت اطلاعات جهت تحلیل آماری وارد برنامه </w:t>
      </w:r>
      <w:r>
        <w:rPr>
          <w:rFonts w:hint="default" w:ascii="Arial" w:hAnsi="Arial" w:cs="Arial"/>
          <w:sz w:val="28"/>
          <w:szCs w:val="28"/>
        </w:rPr>
        <w:t>SPSS</w:t>
      </w:r>
      <w:r>
        <w:rPr>
          <w:rFonts w:hint="default" w:ascii="Arial" w:hAnsi="Arial" w:cs="Arial"/>
          <w:sz w:val="28"/>
          <w:szCs w:val="28"/>
          <w:rtl/>
          <w:lang w:bidi="fa-IR"/>
        </w:rPr>
        <w:t xml:space="preserve"> نسخه 26 شد.</w:t>
      </w:r>
    </w:p>
    <w:p w14:paraId="5B470F03">
      <w:pPr>
        <w:bidi/>
        <w:spacing w:line="360" w:lineRule="auto"/>
        <w:jc w:val="both"/>
        <w:rPr>
          <w:rFonts w:hint="default" w:ascii="Arial" w:hAnsi="Arial" w:cs="Arial"/>
          <w:b/>
          <w:bCs/>
          <w:sz w:val="28"/>
          <w:szCs w:val="28"/>
          <w:rtl/>
          <w:lang w:bidi="fa-IR"/>
        </w:rPr>
      </w:pPr>
      <w:r>
        <w:rPr>
          <w:rFonts w:hint="default" w:ascii="Arial" w:hAnsi="Arial" w:cs="Arial"/>
          <w:sz w:val="28"/>
          <w:szCs w:val="28"/>
          <w:rtl/>
        </w:rPr>
        <w:t xml:space="preserve"> </w:t>
      </w:r>
    </w:p>
    <w:p w14:paraId="2B40AE33">
      <w:pPr>
        <w:bidi/>
        <w:spacing w:line="360" w:lineRule="auto"/>
        <w:jc w:val="both"/>
        <w:rPr>
          <w:rFonts w:hint="default" w:ascii="Arial" w:hAnsi="Arial" w:cs="Arial"/>
          <w:b/>
          <w:bCs/>
          <w:sz w:val="28"/>
          <w:szCs w:val="28"/>
          <w:rtl/>
          <w:lang w:bidi="fa-IR"/>
        </w:rPr>
      </w:pPr>
      <w:r>
        <w:rPr>
          <w:rFonts w:hint="default" w:ascii="Arial" w:hAnsi="Arial" w:cs="Arial"/>
          <w:b/>
          <w:bCs/>
          <w:sz w:val="28"/>
          <w:szCs w:val="28"/>
          <w:rtl/>
          <w:lang w:bidi="fa-IR"/>
        </w:rPr>
        <w:t>روش تجزیه و تحلیل داده ها:</w:t>
      </w:r>
    </w:p>
    <w:p w14:paraId="30019B7C">
      <w:pPr>
        <w:bidi/>
        <w:spacing w:line="360" w:lineRule="auto"/>
        <w:jc w:val="both"/>
        <w:rPr>
          <w:rFonts w:hint="default" w:ascii="Arial" w:hAnsi="Arial" w:cs="Arial"/>
          <w:b/>
          <w:bCs/>
          <w:sz w:val="28"/>
          <w:szCs w:val="28"/>
          <w:rtl/>
          <w:lang w:bidi="fa-IR"/>
        </w:rPr>
      </w:pPr>
      <w:r>
        <w:rPr>
          <w:rFonts w:hint="default" w:ascii="Arial" w:hAnsi="Arial" w:cs="Arial"/>
          <w:sz w:val="28"/>
          <w:szCs w:val="28"/>
          <w:rtl/>
          <w:lang w:bidi="fa-IR"/>
        </w:rPr>
        <w:t xml:space="preserve">تجزیه و تحلیل‌ها با استفاده از نرم‌افزار </w:t>
      </w:r>
      <w:r>
        <w:rPr>
          <w:rFonts w:hint="default" w:ascii="Arial" w:hAnsi="Arial" w:cs="Arial"/>
          <w:sz w:val="28"/>
          <w:szCs w:val="28"/>
          <w:lang w:bidi="fa-IR"/>
        </w:rPr>
        <w:t>SPSS</w:t>
      </w:r>
      <w:r>
        <w:rPr>
          <w:rFonts w:hint="default" w:ascii="Arial" w:hAnsi="Arial" w:cs="Arial"/>
          <w:sz w:val="28"/>
          <w:szCs w:val="28"/>
          <w:rtl/>
          <w:lang w:bidi="fa-IR"/>
        </w:rPr>
        <w:t xml:space="preserve"> نسخه 26 انجام شد. برای متغیرهای کمی از میانگین و میانه برای توصیف داده‌ها و انحراف معیار و محدوده بین چارکی برای توصیف پراکندگی داده‌ها استفاده شد. فراوانی و درصد برای توصیف داده ها در متغیرهای کیفی استفاده شد. برای ارزیابی نرمال بودن داده ها از آزمون کولموگروف اسمیرنوف استفاده  شد. همچنین تحلیل تک متغیری با استفاده از ضریب همبستگی پیرسون، آزمون من ویتنی و آزمون کروسکال والیس انجام گرفت.</w:t>
      </w:r>
    </w:p>
    <w:p w14:paraId="2A38BBAA">
      <w:pPr>
        <w:bidi/>
        <w:spacing w:line="360" w:lineRule="auto"/>
        <w:jc w:val="both"/>
        <w:rPr>
          <w:rFonts w:hint="default" w:ascii="Arial" w:hAnsi="Arial" w:cs="Arial"/>
          <w:sz w:val="28"/>
          <w:szCs w:val="28"/>
          <w:rtl/>
          <w:lang w:bidi="fa-IR"/>
        </w:rPr>
      </w:pPr>
      <w:r>
        <w:rPr>
          <w:rFonts w:hint="default" w:ascii="Arial" w:hAnsi="Arial" w:cs="Arial"/>
          <w:sz w:val="28"/>
          <w:szCs w:val="28"/>
          <w:rtl/>
          <w:lang w:bidi="fa-IR"/>
        </w:rPr>
        <w:t>ملاحظات اخلاقی</w:t>
      </w:r>
    </w:p>
    <w:p w14:paraId="389EB13B">
      <w:pPr>
        <w:bidi/>
        <w:spacing w:line="360" w:lineRule="auto"/>
        <w:jc w:val="both"/>
        <w:rPr>
          <w:rFonts w:hint="default" w:ascii="Arial" w:hAnsi="Arial" w:cs="Arial"/>
          <w:sz w:val="28"/>
          <w:szCs w:val="28"/>
          <w:rtl/>
          <w:lang w:bidi="fa-IR"/>
        </w:rPr>
      </w:pPr>
      <w:r>
        <w:rPr>
          <w:rFonts w:hint="default" w:ascii="Arial" w:hAnsi="Arial" w:cs="Arial"/>
          <w:sz w:val="28"/>
          <w:szCs w:val="28"/>
          <w:rtl/>
          <w:lang w:bidi="fa-IR"/>
        </w:rPr>
        <w:t>این پژوهش موفق به دریافت کد اخلاق از کمیته اخلاق دانشگاه علوم پزشکی آزاد شده است (</w:t>
      </w:r>
      <w:r>
        <w:rPr>
          <w:rFonts w:hint="default" w:ascii="Arial" w:hAnsi="Arial" w:cs="Arial"/>
          <w:sz w:val="28"/>
          <w:szCs w:val="28"/>
          <w:rtl w:val="0"/>
          <w:lang w:val="en-US" w:bidi="fa-IR"/>
        </w:rPr>
        <w:t>1403.296</w:t>
      </w:r>
      <w:r>
        <w:rPr>
          <w:rFonts w:hint="default" w:ascii="Arial" w:hAnsi="Arial" w:cs="Arial"/>
          <w:sz w:val="28"/>
          <w:szCs w:val="28"/>
          <w:rtl/>
          <w:lang w:bidi="fa-IR"/>
        </w:rPr>
        <w:t xml:space="preserve">). </w:t>
      </w:r>
    </w:p>
    <w:p w14:paraId="66C53FEF">
      <w:pPr>
        <w:bidi/>
        <w:spacing w:line="360" w:lineRule="auto"/>
        <w:jc w:val="both"/>
        <w:rPr>
          <w:rFonts w:hint="default" w:ascii="Arial" w:hAnsi="Arial" w:cs="Arial"/>
          <w:sz w:val="28"/>
          <w:szCs w:val="28"/>
          <w:rtl/>
          <w:lang w:bidi="fa-IR"/>
        </w:rPr>
      </w:pPr>
    </w:p>
    <w:p w14:paraId="2CCEA494">
      <w:pPr>
        <w:bidi/>
        <w:spacing w:line="360" w:lineRule="auto"/>
        <w:jc w:val="both"/>
        <w:rPr>
          <w:rFonts w:hint="default" w:ascii="Arial" w:hAnsi="Arial" w:cs="Arial"/>
          <w:b/>
          <w:bCs/>
          <w:sz w:val="28"/>
          <w:szCs w:val="28"/>
          <w:rtl/>
          <w:lang w:bidi="fa-IR"/>
        </w:rPr>
      </w:pPr>
      <w:r>
        <w:rPr>
          <w:rFonts w:hint="default" w:ascii="Arial" w:hAnsi="Arial" w:cs="Arial"/>
          <w:b/>
          <w:bCs/>
          <w:sz w:val="28"/>
          <w:szCs w:val="28"/>
          <w:rtl/>
          <w:lang w:bidi="fa-IR"/>
        </w:rPr>
        <w:t>یافته ها</w:t>
      </w:r>
    </w:p>
    <w:p w14:paraId="1CA647DF">
      <w:pPr>
        <w:bidi/>
        <w:spacing w:line="360" w:lineRule="auto"/>
        <w:jc w:val="both"/>
        <w:rPr>
          <w:rFonts w:hint="default" w:ascii="Arial" w:hAnsi="Arial" w:cs="Arial"/>
          <w:sz w:val="28"/>
          <w:szCs w:val="28"/>
          <w:rtl/>
          <w:lang w:bidi="fa-IR"/>
        </w:rPr>
      </w:pPr>
      <w:r>
        <w:rPr>
          <w:rFonts w:hint="default" w:ascii="Arial" w:hAnsi="Arial" w:cs="Arial"/>
          <w:sz w:val="28"/>
          <w:szCs w:val="28"/>
          <w:rtl/>
          <w:lang w:bidi="fa-IR"/>
        </w:rPr>
        <w:t xml:space="preserve">میانگین سن در 197 بیمار مورد بررسی </w:t>
      </w:r>
      <w:r>
        <w:rPr>
          <w:rFonts w:hint="default" w:ascii="Arial" w:hAnsi="Arial" w:cs="Arial"/>
          <w:sz w:val="28"/>
          <w:szCs w:val="28"/>
          <w:lang w:bidi="fa-IR"/>
        </w:rPr>
        <w:t>60.34±18.57</w:t>
      </w:r>
      <w:r>
        <w:rPr>
          <w:rFonts w:hint="default" w:ascii="Arial" w:hAnsi="Arial" w:cs="Arial"/>
          <w:sz w:val="28"/>
          <w:szCs w:val="28"/>
          <w:rtl/>
          <w:lang w:bidi="fa-IR"/>
        </w:rPr>
        <w:t xml:space="preserve"> سال بود و 108 نفر مرد (54.8%) و 89 نفر زن (45.2%) بودند. میانگین مدت بستری در بیمارستان نیز </w:t>
      </w:r>
      <w:r>
        <w:rPr>
          <w:rFonts w:hint="default" w:ascii="Arial" w:hAnsi="Arial" w:cs="Arial"/>
          <w:sz w:val="28"/>
          <w:szCs w:val="28"/>
          <w:lang w:bidi="fa-IR"/>
        </w:rPr>
        <w:t>7.16±5.91</w:t>
      </w:r>
      <w:r>
        <w:rPr>
          <w:rFonts w:hint="default" w:ascii="Arial" w:hAnsi="Arial" w:cs="Arial"/>
          <w:sz w:val="28"/>
          <w:szCs w:val="28"/>
          <w:rtl/>
          <w:lang w:bidi="fa-IR"/>
        </w:rPr>
        <w:t xml:space="preserve"> روز بود. در مورد شدت بیماری نیز دیده شد که 109 بیمار (55.32%) شدت بیماری متوسط، 30 نفر بیماری شدید (15.2%)، و 58 نفر (29.4%) بیماری بحرانی داشتند. شیوع علائم بیماران بررسی شد و اطلاعات آن در جدول 1 آورده شده است.</w:t>
      </w:r>
    </w:p>
    <w:p w14:paraId="63332F6E">
      <w:pPr>
        <w:bidi/>
        <w:spacing w:line="360" w:lineRule="auto"/>
        <w:jc w:val="both"/>
        <w:rPr>
          <w:rFonts w:hint="default" w:ascii="Arial" w:hAnsi="Arial" w:cs="Arial"/>
          <w:sz w:val="28"/>
          <w:szCs w:val="28"/>
          <w:rtl/>
          <w:lang w:bidi="fa-IR"/>
        </w:rPr>
      </w:pPr>
      <w:r>
        <w:rPr>
          <w:rFonts w:hint="default" w:ascii="Arial" w:hAnsi="Arial" w:cs="Arial"/>
          <w:sz w:val="28"/>
          <w:szCs w:val="28"/>
          <w:rtl/>
          <w:lang w:bidi="fa-IR"/>
        </w:rPr>
        <w:t>جدول1. شیوع علائم بیماران کووید-19</w:t>
      </w:r>
    </w:p>
    <w:tbl>
      <w:tblPr>
        <w:tblStyle w:val="13"/>
        <w:bidiVisual/>
        <w:tblW w:w="9548" w:type="dxa"/>
        <w:tblInd w:w="28" w:type="dxa"/>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09"/>
        <w:gridCol w:w="1909"/>
        <w:gridCol w:w="1910"/>
        <w:gridCol w:w="1910"/>
        <w:gridCol w:w="1910"/>
      </w:tblGrid>
      <w:tr w14:paraId="1912EDA7">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1909" w:type="dxa"/>
            <w:tcBorders>
              <w:bottom w:val="single" w:color="000000" w:themeColor="text1" w:sz="4" w:space="0"/>
              <w:insideH w:val="single" w:sz="4" w:space="0"/>
            </w:tcBorders>
            <w:vAlign w:val="center"/>
          </w:tcPr>
          <w:p w14:paraId="09E700A6">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sz w:val="20"/>
                <w:szCs w:val="20"/>
                <w:lang w:bidi="fa-IR"/>
                <w14:textFill>
                  <w14:solidFill>
                    <w14:schemeClr w14:val="tx1"/>
                  </w14:solidFill>
                </w14:textFill>
              </w:rPr>
            </w:pPr>
            <w:r>
              <w:rPr>
                <w:rFonts w:hint="default" w:ascii="Arial" w:hAnsi="Arial" w:cs="Arial"/>
                <w:b/>
                <w:bCs/>
                <w:color w:val="000000" w:themeColor="text1"/>
                <w:sz w:val="20"/>
                <w:szCs w:val="20"/>
                <w:rtl/>
                <w:lang w:bidi="fa-IR"/>
                <w14:textFill>
                  <w14:solidFill>
                    <w14:schemeClr w14:val="tx1"/>
                  </w14:solidFill>
                </w14:textFill>
              </w:rPr>
              <w:t>علامت</w:t>
            </w:r>
          </w:p>
        </w:tc>
        <w:tc>
          <w:tcPr>
            <w:tcW w:w="1909" w:type="dxa"/>
            <w:tcBorders>
              <w:bottom w:val="single" w:color="000000" w:themeColor="text1" w:sz="4" w:space="0"/>
              <w:insideH w:val="single" w:sz="4" w:space="0"/>
            </w:tcBorders>
            <w:vAlign w:val="center"/>
          </w:tcPr>
          <w:p w14:paraId="16237D70">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sz w:val="20"/>
                <w:szCs w:val="20"/>
                <w:lang w:bidi="fa-IR"/>
                <w14:textFill>
                  <w14:solidFill>
                    <w14:schemeClr w14:val="tx1"/>
                  </w14:solidFill>
                </w14:textFill>
              </w:rPr>
            </w:pPr>
            <w:r>
              <w:rPr>
                <w:rFonts w:hint="default" w:ascii="Arial" w:hAnsi="Arial" w:cs="Arial"/>
                <w:b/>
                <w:bCs/>
                <w:color w:val="000000" w:themeColor="text1"/>
                <w:sz w:val="20"/>
                <w:szCs w:val="20"/>
                <w:rtl/>
                <w:lang w:bidi="fa-IR"/>
                <w14:textFill>
                  <w14:solidFill>
                    <w14:schemeClr w14:val="tx1"/>
                  </w14:solidFill>
                </w14:textFill>
              </w:rPr>
              <w:t>تعداد (بله)</w:t>
            </w:r>
          </w:p>
        </w:tc>
        <w:tc>
          <w:tcPr>
            <w:tcW w:w="1910" w:type="dxa"/>
            <w:tcBorders>
              <w:bottom w:val="single" w:color="000000" w:themeColor="text1" w:sz="4" w:space="0"/>
              <w:insideH w:val="single" w:sz="4" w:space="0"/>
            </w:tcBorders>
            <w:vAlign w:val="center"/>
          </w:tcPr>
          <w:p w14:paraId="16AEA6ED">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sz w:val="20"/>
                <w:szCs w:val="20"/>
                <w:lang w:bidi="fa-IR"/>
                <w14:textFill>
                  <w14:solidFill>
                    <w14:schemeClr w14:val="tx1"/>
                  </w14:solidFill>
                </w14:textFill>
              </w:rPr>
            </w:pPr>
            <w:r>
              <w:rPr>
                <w:rFonts w:hint="default" w:ascii="Arial" w:hAnsi="Arial" w:cs="Arial"/>
                <w:b/>
                <w:bCs/>
                <w:color w:val="000000" w:themeColor="text1"/>
                <w:sz w:val="20"/>
                <w:szCs w:val="20"/>
                <w:rtl/>
                <w:lang w:bidi="fa-IR"/>
                <w14:textFill>
                  <w14:solidFill>
                    <w14:schemeClr w14:val="tx1"/>
                  </w14:solidFill>
                </w14:textFill>
              </w:rPr>
              <w:t>درصد (بله)</w:t>
            </w:r>
          </w:p>
        </w:tc>
        <w:tc>
          <w:tcPr>
            <w:tcW w:w="1910" w:type="dxa"/>
            <w:tcBorders>
              <w:bottom w:val="single" w:color="000000" w:themeColor="text1" w:sz="4" w:space="0"/>
              <w:insideH w:val="single" w:sz="4" w:space="0"/>
            </w:tcBorders>
            <w:vAlign w:val="center"/>
          </w:tcPr>
          <w:p w14:paraId="78E5C74A">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sz w:val="20"/>
                <w:szCs w:val="20"/>
                <w:lang w:bidi="fa-IR"/>
                <w14:textFill>
                  <w14:solidFill>
                    <w14:schemeClr w14:val="tx1"/>
                  </w14:solidFill>
                </w14:textFill>
              </w:rPr>
            </w:pPr>
            <w:r>
              <w:rPr>
                <w:rFonts w:hint="default" w:ascii="Arial" w:hAnsi="Arial" w:cs="Arial"/>
                <w:b/>
                <w:bCs/>
                <w:color w:val="000000" w:themeColor="text1"/>
                <w:sz w:val="20"/>
                <w:szCs w:val="20"/>
                <w:rtl/>
                <w:lang w:bidi="fa-IR"/>
                <w14:textFill>
                  <w14:solidFill>
                    <w14:schemeClr w14:val="tx1"/>
                  </w14:solidFill>
                </w14:textFill>
              </w:rPr>
              <w:t>تعداد (نه)</w:t>
            </w:r>
          </w:p>
        </w:tc>
        <w:tc>
          <w:tcPr>
            <w:tcW w:w="1910" w:type="dxa"/>
            <w:tcBorders>
              <w:bottom w:val="single" w:color="000000" w:themeColor="text1" w:sz="4" w:space="0"/>
              <w:insideH w:val="single" w:sz="4" w:space="0"/>
            </w:tcBorders>
            <w:vAlign w:val="center"/>
          </w:tcPr>
          <w:p w14:paraId="5A1B6ACD">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sz w:val="20"/>
                <w:szCs w:val="20"/>
                <w:lang w:bidi="fa-IR"/>
                <w14:textFill>
                  <w14:solidFill>
                    <w14:schemeClr w14:val="tx1"/>
                  </w14:solidFill>
                </w14:textFill>
              </w:rPr>
            </w:pPr>
            <w:r>
              <w:rPr>
                <w:rFonts w:hint="default" w:ascii="Arial" w:hAnsi="Arial" w:cs="Arial"/>
                <w:b/>
                <w:bCs/>
                <w:color w:val="000000" w:themeColor="text1"/>
                <w:sz w:val="20"/>
                <w:szCs w:val="20"/>
                <w:rtl/>
                <w:lang w:bidi="fa-IR"/>
                <w14:textFill>
                  <w14:solidFill>
                    <w14:schemeClr w14:val="tx1"/>
                  </w14:solidFill>
                </w14:textFill>
              </w:rPr>
              <w:t>درصد (نه)</w:t>
            </w:r>
          </w:p>
        </w:tc>
      </w:tr>
      <w:tr w14:paraId="45C2F1BE">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1909" w:type="dxa"/>
            <w:shd w:val="clear" w:color="auto" w:fill="CCCCCC" w:themeFill="text1" w:themeFillTint="33"/>
            <w:vAlign w:val="center"/>
          </w:tcPr>
          <w:p w14:paraId="3A478262">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sz w:val="20"/>
                <w:szCs w:val="20"/>
                <w:lang w:bidi="fa-IR"/>
                <w14:textFill>
                  <w14:solidFill>
                    <w14:schemeClr w14:val="tx1"/>
                  </w14:solidFill>
                </w14:textFill>
              </w:rPr>
            </w:pPr>
            <w:r>
              <w:rPr>
                <w:rFonts w:hint="default" w:ascii="Arial" w:hAnsi="Arial" w:cs="Arial"/>
                <w:b/>
                <w:bCs/>
                <w:color w:val="000000" w:themeColor="text1"/>
                <w:sz w:val="20"/>
                <w:szCs w:val="20"/>
                <w:rtl/>
                <w:lang w:bidi="fa-IR"/>
                <w14:textFill>
                  <w14:solidFill>
                    <w14:schemeClr w14:val="tx1"/>
                  </w14:solidFill>
                </w14:textFill>
              </w:rPr>
              <w:t>سرفه</w:t>
            </w:r>
          </w:p>
        </w:tc>
        <w:tc>
          <w:tcPr>
            <w:tcW w:w="1909" w:type="dxa"/>
            <w:shd w:val="clear" w:color="auto" w:fill="CCCCCC" w:themeFill="text1" w:themeFillTint="33"/>
            <w:vAlign w:val="center"/>
          </w:tcPr>
          <w:p w14:paraId="396212F5">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۱۱۲</w:t>
            </w:r>
          </w:p>
        </w:tc>
        <w:tc>
          <w:tcPr>
            <w:tcW w:w="1910" w:type="dxa"/>
            <w:shd w:val="clear" w:color="auto" w:fill="CCCCCC" w:themeFill="text1" w:themeFillTint="33"/>
            <w:vAlign w:val="center"/>
          </w:tcPr>
          <w:p w14:paraId="1528BF7A">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۵۶.۹٪</w:t>
            </w:r>
          </w:p>
        </w:tc>
        <w:tc>
          <w:tcPr>
            <w:tcW w:w="1910" w:type="dxa"/>
            <w:shd w:val="clear" w:color="auto" w:fill="CCCCCC" w:themeFill="text1" w:themeFillTint="33"/>
            <w:vAlign w:val="center"/>
          </w:tcPr>
          <w:p w14:paraId="1581FDCF">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۸۵</w:t>
            </w:r>
          </w:p>
        </w:tc>
        <w:tc>
          <w:tcPr>
            <w:tcW w:w="1910" w:type="dxa"/>
            <w:shd w:val="clear" w:color="auto" w:fill="CCCCCC" w:themeFill="text1" w:themeFillTint="33"/>
            <w:vAlign w:val="center"/>
          </w:tcPr>
          <w:p w14:paraId="199BC9B5">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۴۳.۱٪</w:t>
            </w:r>
          </w:p>
        </w:tc>
      </w:tr>
      <w:tr w14:paraId="2B290E0D">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1909" w:type="dxa"/>
            <w:vAlign w:val="center"/>
          </w:tcPr>
          <w:p w14:paraId="2EF618A5">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sz w:val="20"/>
                <w:szCs w:val="20"/>
                <w:lang w:bidi="fa-IR"/>
                <w14:textFill>
                  <w14:solidFill>
                    <w14:schemeClr w14:val="tx1"/>
                  </w14:solidFill>
                </w14:textFill>
              </w:rPr>
            </w:pPr>
            <w:r>
              <w:rPr>
                <w:rFonts w:hint="default" w:ascii="Arial" w:hAnsi="Arial" w:cs="Arial"/>
                <w:b/>
                <w:bCs/>
                <w:color w:val="000000" w:themeColor="text1"/>
                <w:sz w:val="20"/>
                <w:szCs w:val="20"/>
                <w:rtl/>
                <w:lang w:bidi="fa-IR"/>
                <w14:textFill>
                  <w14:solidFill>
                    <w14:schemeClr w14:val="tx1"/>
                  </w14:solidFill>
                </w14:textFill>
              </w:rPr>
              <w:t>سرگیجه</w:t>
            </w:r>
          </w:p>
        </w:tc>
        <w:tc>
          <w:tcPr>
            <w:tcW w:w="1909" w:type="dxa"/>
            <w:vAlign w:val="center"/>
          </w:tcPr>
          <w:p w14:paraId="2DC6C4F9">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۳۷</w:t>
            </w:r>
          </w:p>
        </w:tc>
        <w:tc>
          <w:tcPr>
            <w:tcW w:w="1910" w:type="dxa"/>
            <w:vAlign w:val="center"/>
          </w:tcPr>
          <w:p w14:paraId="68FCE655">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۱۸.۸٪</w:t>
            </w:r>
          </w:p>
        </w:tc>
        <w:tc>
          <w:tcPr>
            <w:tcW w:w="1910" w:type="dxa"/>
            <w:vAlign w:val="center"/>
          </w:tcPr>
          <w:p w14:paraId="69417F8A">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۱۶۰</w:t>
            </w:r>
          </w:p>
        </w:tc>
        <w:tc>
          <w:tcPr>
            <w:tcW w:w="1910" w:type="dxa"/>
            <w:vAlign w:val="center"/>
          </w:tcPr>
          <w:p w14:paraId="55DBCEE7">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۸۱.۲٪</w:t>
            </w:r>
          </w:p>
        </w:tc>
      </w:tr>
      <w:tr w14:paraId="109409D9">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1909" w:type="dxa"/>
            <w:shd w:val="clear" w:color="auto" w:fill="CCCCCC" w:themeFill="text1" w:themeFillTint="33"/>
            <w:vAlign w:val="center"/>
          </w:tcPr>
          <w:p w14:paraId="1ECAD8BF">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sz w:val="20"/>
                <w:szCs w:val="20"/>
                <w:lang w:bidi="fa-IR"/>
                <w14:textFill>
                  <w14:solidFill>
                    <w14:schemeClr w14:val="tx1"/>
                  </w14:solidFill>
                </w14:textFill>
              </w:rPr>
            </w:pPr>
            <w:r>
              <w:rPr>
                <w:rFonts w:hint="default" w:ascii="Arial" w:hAnsi="Arial" w:cs="Arial"/>
                <w:b/>
                <w:bCs/>
                <w:color w:val="000000" w:themeColor="text1"/>
                <w:sz w:val="20"/>
                <w:szCs w:val="20"/>
                <w:rtl/>
                <w:lang w:bidi="fa-IR"/>
                <w14:textFill>
                  <w14:solidFill>
                    <w14:schemeClr w14:val="tx1"/>
                  </w14:solidFill>
                </w14:textFill>
              </w:rPr>
              <w:t>دیسفاژی</w:t>
            </w:r>
          </w:p>
        </w:tc>
        <w:tc>
          <w:tcPr>
            <w:tcW w:w="1909" w:type="dxa"/>
            <w:shd w:val="clear" w:color="auto" w:fill="CCCCCC" w:themeFill="text1" w:themeFillTint="33"/>
            <w:vAlign w:val="center"/>
          </w:tcPr>
          <w:p w14:paraId="245A9B63">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۳</w:t>
            </w:r>
          </w:p>
        </w:tc>
        <w:tc>
          <w:tcPr>
            <w:tcW w:w="1910" w:type="dxa"/>
            <w:shd w:val="clear" w:color="auto" w:fill="CCCCCC" w:themeFill="text1" w:themeFillTint="33"/>
            <w:vAlign w:val="center"/>
          </w:tcPr>
          <w:p w14:paraId="569B7EA6">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۱.۵٪</w:t>
            </w:r>
          </w:p>
        </w:tc>
        <w:tc>
          <w:tcPr>
            <w:tcW w:w="1910" w:type="dxa"/>
            <w:shd w:val="clear" w:color="auto" w:fill="CCCCCC" w:themeFill="text1" w:themeFillTint="33"/>
            <w:vAlign w:val="center"/>
          </w:tcPr>
          <w:p w14:paraId="518D1B31">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۱۹۴</w:t>
            </w:r>
          </w:p>
        </w:tc>
        <w:tc>
          <w:tcPr>
            <w:tcW w:w="1910" w:type="dxa"/>
            <w:shd w:val="clear" w:color="auto" w:fill="CCCCCC" w:themeFill="text1" w:themeFillTint="33"/>
            <w:vAlign w:val="center"/>
          </w:tcPr>
          <w:p w14:paraId="26505180">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۹۸.۵٪</w:t>
            </w:r>
          </w:p>
        </w:tc>
      </w:tr>
      <w:tr w14:paraId="122F3782">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1909" w:type="dxa"/>
            <w:vAlign w:val="center"/>
          </w:tcPr>
          <w:p w14:paraId="29C1F0F7">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sz w:val="20"/>
                <w:szCs w:val="20"/>
                <w:lang w:bidi="fa-IR"/>
                <w14:textFill>
                  <w14:solidFill>
                    <w14:schemeClr w14:val="tx1"/>
                  </w14:solidFill>
                </w14:textFill>
              </w:rPr>
            </w:pPr>
            <w:r>
              <w:rPr>
                <w:rFonts w:hint="default" w:ascii="Arial" w:hAnsi="Arial" w:cs="Arial"/>
                <w:b/>
                <w:bCs/>
                <w:color w:val="000000" w:themeColor="text1"/>
                <w:sz w:val="20"/>
                <w:szCs w:val="20"/>
                <w:rtl/>
                <w:lang w:bidi="fa-IR"/>
                <w14:textFill>
                  <w14:solidFill>
                    <w14:schemeClr w14:val="tx1"/>
                  </w14:solidFill>
                </w14:textFill>
              </w:rPr>
              <w:t>خونریزی بینی</w:t>
            </w:r>
          </w:p>
        </w:tc>
        <w:tc>
          <w:tcPr>
            <w:tcW w:w="1909" w:type="dxa"/>
            <w:vAlign w:val="center"/>
          </w:tcPr>
          <w:p w14:paraId="13618444">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۲</w:t>
            </w:r>
          </w:p>
        </w:tc>
        <w:tc>
          <w:tcPr>
            <w:tcW w:w="1910" w:type="dxa"/>
            <w:vAlign w:val="center"/>
          </w:tcPr>
          <w:p w14:paraId="7017512A">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۱.۰٪</w:t>
            </w:r>
          </w:p>
        </w:tc>
        <w:tc>
          <w:tcPr>
            <w:tcW w:w="1910" w:type="dxa"/>
            <w:vAlign w:val="center"/>
          </w:tcPr>
          <w:p w14:paraId="4602428F">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۱۹۵</w:t>
            </w:r>
          </w:p>
        </w:tc>
        <w:tc>
          <w:tcPr>
            <w:tcW w:w="1910" w:type="dxa"/>
            <w:vAlign w:val="center"/>
          </w:tcPr>
          <w:p w14:paraId="5D57284F">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۹۹.۰٪</w:t>
            </w:r>
          </w:p>
        </w:tc>
      </w:tr>
      <w:tr w14:paraId="2DD7C355">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1" w:hRule="atLeast"/>
        </w:trPr>
        <w:tc>
          <w:tcPr>
            <w:tcW w:w="1909" w:type="dxa"/>
            <w:shd w:val="clear" w:color="auto" w:fill="CCCCCC" w:themeFill="text1" w:themeFillTint="33"/>
            <w:vAlign w:val="center"/>
          </w:tcPr>
          <w:p w14:paraId="6DCEA4D0">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sz w:val="20"/>
                <w:szCs w:val="20"/>
                <w:lang w:bidi="fa-IR"/>
                <w14:textFill>
                  <w14:solidFill>
                    <w14:schemeClr w14:val="tx1"/>
                  </w14:solidFill>
                </w14:textFill>
              </w:rPr>
            </w:pPr>
            <w:r>
              <w:rPr>
                <w:rFonts w:hint="default" w:ascii="Arial" w:hAnsi="Arial" w:cs="Arial"/>
                <w:b/>
                <w:bCs/>
                <w:color w:val="000000" w:themeColor="text1"/>
                <w:sz w:val="20"/>
                <w:szCs w:val="20"/>
                <w:rtl/>
                <w:lang w:bidi="fa-IR"/>
                <w14:textFill>
                  <w14:solidFill>
                    <w14:schemeClr w14:val="tx1"/>
                  </w14:solidFill>
                </w14:textFill>
              </w:rPr>
              <w:t>کاهش شنوایی</w:t>
            </w:r>
          </w:p>
        </w:tc>
        <w:tc>
          <w:tcPr>
            <w:tcW w:w="1909" w:type="dxa"/>
            <w:shd w:val="clear" w:color="auto" w:fill="CCCCCC" w:themeFill="text1" w:themeFillTint="33"/>
            <w:vAlign w:val="center"/>
          </w:tcPr>
          <w:p w14:paraId="30A80133">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۰</w:t>
            </w:r>
          </w:p>
        </w:tc>
        <w:tc>
          <w:tcPr>
            <w:tcW w:w="1910" w:type="dxa"/>
            <w:shd w:val="clear" w:color="auto" w:fill="CCCCCC" w:themeFill="text1" w:themeFillTint="33"/>
            <w:vAlign w:val="center"/>
          </w:tcPr>
          <w:p w14:paraId="5AB3F9B4">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۰.۰٪</w:t>
            </w:r>
          </w:p>
        </w:tc>
        <w:tc>
          <w:tcPr>
            <w:tcW w:w="1910" w:type="dxa"/>
            <w:shd w:val="clear" w:color="auto" w:fill="CCCCCC" w:themeFill="text1" w:themeFillTint="33"/>
            <w:vAlign w:val="center"/>
          </w:tcPr>
          <w:p w14:paraId="571F8C74">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۱۹۷</w:t>
            </w:r>
          </w:p>
        </w:tc>
        <w:tc>
          <w:tcPr>
            <w:tcW w:w="1910" w:type="dxa"/>
            <w:shd w:val="clear" w:color="auto" w:fill="CCCCCC" w:themeFill="text1" w:themeFillTint="33"/>
            <w:vAlign w:val="center"/>
          </w:tcPr>
          <w:p w14:paraId="327AC772">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۱۰۰٪</w:t>
            </w:r>
          </w:p>
        </w:tc>
      </w:tr>
      <w:tr w14:paraId="5E3DA3F4">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9" w:hRule="atLeast"/>
        </w:trPr>
        <w:tc>
          <w:tcPr>
            <w:tcW w:w="1909" w:type="dxa"/>
            <w:vAlign w:val="center"/>
          </w:tcPr>
          <w:p w14:paraId="1C07F119">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sz w:val="20"/>
                <w:szCs w:val="20"/>
                <w:lang w:bidi="fa-IR"/>
                <w14:textFill>
                  <w14:solidFill>
                    <w14:schemeClr w14:val="tx1"/>
                  </w14:solidFill>
                </w14:textFill>
              </w:rPr>
            </w:pPr>
            <w:r>
              <w:rPr>
                <w:rFonts w:hint="default" w:ascii="Arial" w:hAnsi="Arial" w:cs="Arial"/>
                <w:b/>
                <w:bCs/>
                <w:color w:val="000000" w:themeColor="text1"/>
                <w:sz w:val="20"/>
                <w:szCs w:val="20"/>
                <w:rtl/>
                <w:lang w:bidi="fa-IR"/>
                <w14:textFill>
                  <w14:solidFill>
                    <w14:schemeClr w14:val="tx1"/>
                  </w14:solidFill>
                </w14:textFill>
              </w:rPr>
              <w:t>هیپوجنزی</w:t>
            </w:r>
          </w:p>
        </w:tc>
        <w:tc>
          <w:tcPr>
            <w:tcW w:w="1909" w:type="dxa"/>
            <w:vAlign w:val="center"/>
          </w:tcPr>
          <w:p w14:paraId="167B5776">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۱۵</w:t>
            </w:r>
          </w:p>
        </w:tc>
        <w:tc>
          <w:tcPr>
            <w:tcW w:w="1910" w:type="dxa"/>
            <w:vAlign w:val="center"/>
          </w:tcPr>
          <w:p w14:paraId="2F429794">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۷.۶٪</w:t>
            </w:r>
          </w:p>
        </w:tc>
        <w:tc>
          <w:tcPr>
            <w:tcW w:w="1910" w:type="dxa"/>
            <w:vAlign w:val="center"/>
          </w:tcPr>
          <w:p w14:paraId="61D5785B">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۱۸۲</w:t>
            </w:r>
          </w:p>
        </w:tc>
        <w:tc>
          <w:tcPr>
            <w:tcW w:w="1910" w:type="dxa"/>
            <w:vAlign w:val="center"/>
          </w:tcPr>
          <w:p w14:paraId="3BACEB18">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۹۲.۴٪</w:t>
            </w:r>
          </w:p>
        </w:tc>
      </w:tr>
      <w:tr w14:paraId="0AACB544">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1909" w:type="dxa"/>
            <w:shd w:val="clear" w:color="auto" w:fill="CCCCCC" w:themeFill="text1" w:themeFillTint="33"/>
            <w:vAlign w:val="center"/>
          </w:tcPr>
          <w:p w14:paraId="66EE0C5D">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sz w:val="20"/>
                <w:szCs w:val="20"/>
                <w:lang w:bidi="fa-IR"/>
                <w14:textFill>
                  <w14:solidFill>
                    <w14:schemeClr w14:val="tx1"/>
                  </w14:solidFill>
                </w14:textFill>
              </w:rPr>
            </w:pPr>
            <w:r>
              <w:rPr>
                <w:rFonts w:hint="default" w:ascii="Arial" w:hAnsi="Arial" w:cs="Arial"/>
                <w:b/>
                <w:bCs/>
                <w:color w:val="000000" w:themeColor="text1"/>
                <w:sz w:val="20"/>
                <w:szCs w:val="20"/>
                <w:rtl/>
                <w:lang w:bidi="fa-IR"/>
                <w14:textFill>
                  <w14:solidFill>
                    <w14:schemeClr w14:val="tx1"/>
                  </w14:solidFill>
                </w14:textFill>
              </w:rPr>
              <w:t>هیپوسمیا</w:t>
            </w:r>
          </w:p>
        </w:tc>
        <w:tc>
          <w:tcPr>
            <w:tcW w:w="1909" w:type="dxa"/>
            <w:shd w:val="clear" w:color="auto" w:fill="CCCCCC" w:themeFill="text1" w:themeFillTint="33"/>
            <w:vAlign w:val="center"/>
          </w:tcPr>
          <w:p w14:paraId="11650E77">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۲۰</w:t>
            </w:r>
          </w:p>
        </w:tc>
        <w:tc>
          <w:tcPr>
            <w:tcW w:w="1910" w:type="dxa"/>
            <w:shd w:val="clear" w:color="auto" w:fill="CCCCCC" w:themeFill="text1" w:themeFillTint="33"/>
            <w:vAlign w:val="center"/>
          </w:tcPr>
          <w:p w14:paraId="244C86BE">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۱۰.۲٪</w:t>
            </w:r>
          </w:p>
        </w:tc>
        <w:tc>
          <w:tcPr>
            <w:tcW w:w="1910" w:type="dxa"/>
            <w:shd w:val="clear" w:color="auto" w:fill="CCCCCC" w:themeFill="text1" w:themeFillTint="33"/>
            <w:vAlign w:val="center"/>
          </w:tcPr>
          <w:p w14:paraId="0B13636B">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۱۷۷</w:t>
            </w:r>
          </w:p>
        </w:tc>
        <w:tc>
          <w:tcPr>
            <w:tcW w:w="1910" w:type="dxa"/>
            <w:shd w:val="clear" w:color="auto" w:fill="CCCCCC" w:themeFill="text1" w:themeFillTint="33"/>
            <w:vAlign w:val="center"/>
          </w:tcPr>
          <w:p w14:paraId="6619599A">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۸۹.۸٪</w:t>
            </w:r>
          </w:p>
        </w:tc>
      </w:tr>
      <w:tr w14:paraId="70042868">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909" w:type="dxa"/>
            <w:vAlign w:val="center"/>
          </w:tcPr>
          <w:p w14:paraId="0BCE24C1">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sz w:val="20"/>
                <w:szCs w:val="20"/>
                <w:lang w:bidi="fa-IR"/>
                <w14:textFill>
                  <w14:solidFill>
                    <w14:schemeClr w14:val="tx1"/>
                  </w14:solidFill>
                </w14:textFill>
              </w:rPr>
            </w:pPr>
            <w:r>
              <w:rPr>
                <w:rFonts w:hint="default" w:ascii="Arial" w:hAnsi="Arial" w:cs="Arial"/>
                <w:b/>
                <w:bCs/>
                <w:color w:val="000000" w:themeColor="text1"/>
                <w:sz w:val="20"/>
                <w:szCs w:val="20"/>
                <w:rtl/>
                <w:lang w:bidi="fa-IR"/>
                <w14:textFill>
                  <w14:solidFill>
                    <w14:schemeClr w14:val="tx1"/>
                  </w14:solidFill>
                </w14:textFill>
              </w:rPr>
              <w:t>گرفتگی صدا</w:t>
            </w:r>
          </w:p>
        </w:tc>
        <w:tc>
          <w:tcPr>
            <w:tcW w:w="1909" w:type="dxa"/>
            <w:vAlign w:val="center"/>
          </w:tcPr>
          <w:p w14:paraId="3872212B">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۲</w:t>
            </w:r>
          </w:p>
        </w:tc>
        <w:tc>
          <w:tcPr>
            <w:tcW w:w="1910" w:type="dxa"/>
            <w:vAlign w:val="center"/>
          </w:tcPr>
          <w:p w14:paraId="083DFE93">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۱.۰٪</w:t>
            </w:r>
          </w:p>
        </w:tc>
        <w:tc>
          <w:tcPr>
            <w:tcW w:w="1910" w:type="dxa"/>
            <w:vAlign w:val="center"/>
          </w:tcPr>
          <w:p w14:paraId="3030F31E">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۱۹۵</w:t>
            </w:r>
          </w:p>
        </w:tc>
        <w:tc>
          <w:tcPr>
            <w:tcW w:w="1910" w:type="dxa"/>
            <w:vAlign w:val="center"/>
          </w:tcPr>
          <w:p w14:paraId="34045547">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۹۹.۰٪</w:t>
            </w:r>
          </w:p>
        </w:tc>
      </w:tr>
      <w:tr w14:paraId="3073DC87">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909" w:type="dxa"/>
            <w:shd w:val="clear" w:color="auto" w:fill="CCCCCC" w:themeFill="text1" w:themeFillTint="33"/>
            <w:vAlign w:val="center"/>
          </w:tcPr>
          <w:p w14:paraId="267682EB">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sz w:val="20"/>
                <w:szCs w:val="20"/>
                <w:lang w:bidi="fa-IR"/>
                <w14:textFill>
                  <w14:solidFill>
                    <w14:schemeClr w14:val="tx1"/>
                  </w14:solidFill>
                </w14:textFill>
              </w:rPr>
            </w:pPr>
            <w:r>
              <w:rPr>
                <w:rFonts w:hint="default" w:ascii="Arial" w:hAnsi="Arial" w:cs="Arial"/>
                <w:b/>
                <w:bCs/>
                <w:color w:val="000000" w:themeColor="text1"/>
                <w:sz w:val="20"/>
                <w:szCs w:val="20"/>
                <w:rtl/>
                <w:lang w:bidi="fa-IR"/>
                <w14:textFill>
                  <w14:solidFill>
                    <w14:schemeClr w14:val="tx1"/>
                  </w14:solidFill>
                </w14:textFill>
              </w:rPr>
              <w:t>خارش گلو</w:t>
            </w:r>
          </w:p>
        </w:tc>
        <w:tc>
          <w:tcPr>
            <w:tcW w:w="1909" w:type="dxa"/>
            <w:shd w:val="clear" w:color="auto" w:fill="CCCCCC" w:themeFill="text1" w:themeFillTint="33"/>
            <w:vAlign w:val="center"/>
          </w:tcPr>
          <w:p w14:paraId="303AE17A">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۱</w:t>
            </w:r>
          </w:p>
        </w:tc>
        <w:tc>
          <w:tcPr>
            <w:tcW w:w="1910" w:type="dxa"/>
            <w:shd w:val="clear" w:color="auto" w:fill="CCCCCC" w:themeFill="text1" w:themeFillTint="33"/>
            <w:vAlign w:val="center"/>
          </w:tcPr>
          <w:p w14:paraId="54FA6220">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۰.۵٪</w:t>
            </w:r>
          </w:p>
        </w:tc>
        <w:tc>
          <w:tcPr>
            <w:tcW w:w="1910" w:type="dxa"/>
            <w:shd w:val="clear" w:color="auto" w:fill="CCCCCC" w:themeFill="text1" w:themeFillTint="33"/>
            <w:vAlign w:val="center"/>
          </w:tcPr>
          <w:p w14:paraId="49B3AB2C">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۱۹۶</w:t>
            </w:r>
          </w:p>
        </w:tc>
        <w:tc>
          <w:tcPr>
            <w:tcW w:w="1910" w:type="dxa"/>
            <w:shd w:val="clear" w:color="auto" w:fill="CCCCCC" w:themeFill="text1" w:themeFillTint="33"/>
            <w:vAlign w:val="center"/>
          </w:tcPr>
          <w:p w14:paraId="1DBCBE12">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۹۹.۵٪</w:t>
            </w:r>
          </w:p>
        </w:tc>
      </w:tr>
      <w:tr w14:paraId="13DFFFCB">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4" w:hRule="atLeast"/>
        </w:trPr>
        <w:tc>
          <w:tcPr>
            <w:tcW w:w="1909" w:type="dxa"/>
            <w:vAlign w:val="center"/>
          </w:tcPr>
          <w:p w14:paraId="394C7FA5">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sz w:val="20"/>
                <w:szCs w:val="20"/>
                <w:lang w:bidi="fa-IR"/>
                <w14:textFill>
                  <w14:solidFill>
                    <w14:schemeClr w14:val="tx1"/>
                  </w14:solidFill>
                </w14:textFill>
              </w:rPr>
            </w:pPr>
            <w:r>
              <w:rPr>
                <w:rFonts w:hint="default" w:ascii="Arial" w:hAnsi="Arial" w:cs="Arial"/>
                <w:b/>
                <w:bCs/>
                <w:color w:val="000000" w:themeColor="text1"/>
                <w:sz w:val="20"/>
                <w:szCs w:val="20"/>
                <w:rtl/>
                <w:lang w:bidi="fa-IR"/>
                <w14:textFill>
                  <w14:solidFill>
                    <w14:schemeClr w14:val="tx1"/>
                  </w14:solidFill>
                </w14:textFill>
              </w:rPr>
              <w:t>احتقان بینی</w:t>
            </w:r>
          </w:p>
        </w:tc>
        <w:tc>
          <w:tcPr>
            <w:tcW w:w="1909" w:type="dxa"/>
            <w:vAlign w:val="center"/>
          </w:tcPr>
          <w:p w14:paraId="79BB774B">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۳</w:t>
            </w:r>
          </w:p>
        </w:tc>
        <w:tc>
          <w:tcPr>
            <w:tcW w:w="1910" w:type="dxa"/>
            <w:vAlign w:val="center"/>
          </w:tcPr>
          <w:p w14:paraId="39734AA3">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۱.۵٪</w:t>
            </w:r>
          </w:p>
        </w:tc>
        <w:tc>
          <w:tcPr>
            <w:tcW w:w="1910" w:type="dxa"/>
            <w:vAlign w:val="center"/>
          </w:tcPr>
          <w:p w14:paraId="2B48F1DF">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۱۹۴</w:t>
            </w:r>
          </w:p>
        </w:tc>
        <w:tc>
          <w:tcPr>
            <w:tcW w:w="1910" w:type="dxa"/>
            <w:vAlign w:val="center"/>
          </w:tcPr>
          <w:p w14:paraId="3B063E6C">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۹۸.۵٪</w:t>
            </w:r>
          </w:p>
        </w:tc>
      </w:tr>
      <w:tr w14:paraId="3274C893">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1909" w:type="dxa"/>
            <w:shd w:val="clear" w:color="auto" w:fill="CCCCCC" w:themeFill="text1" w:themeFillTint="33"/>
            <w:vAlign w:val="center"/>
          </w:tcPr>
          <w:p w14:paraId="2C98E53C">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sz w:val="20"/>
                <w:szCs w:val="20"/>
                <w:lang w:bidi="fa-IR"/>
                <w14:textFill>
                  <w14:solidFill>
                    <w14:schemeClr w14:val="tx1"/>
                  </w14:solidFill>
                </w14:textFill>
              </w:rPr>
            </w:pPr>
            <w:r>
              <w:rPr>
                <w:rFonts w:hint="default" w:ascii="Arial" w:hAnsi="Arial" w:cs="Arial"/>
                <w:b/>
                <w:bCs/>
                <w:color w:val="000000" w:themeColor="text1"/>
                <w:sz w:val="20"/>
                <w:szCs w:val="20"/>
                <w:lang w:bidi="fa-IR"/>
                <w14:textFill>
                  <w14:solidFill>
                    <w14:schemeClr w14:val="tx1"/>
                  </w14:solidFill>
                </w14:textFill>
              </w:rPr>
              <w:t>PND</w:t>
            </w:r>
          </w:p>
        </w:tc>
        <w:tc>
          <w:tcPr>
            <w:tcW w:w="1909" w:type="dxa"/>
            <w:shd w:val="clear" w:color="auto" w:fill="CCCCCC" w:themeFill="text1" w:themeFillTint="33"/>
            <w:vAlign w:val="center"/>
          </w:tcPr>
          <w:p w14:paraId="2E735914">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۷</w:t>
            </w:r>
          </w:p>
        </w:tc>
        <w:tc>
          <w:tcPr>
            <w:tcW w:w="1910" w:type="dxa"/>
            <w:shd w:val="clear" w:color="auto" w:fill="CCCCCC" w:themeFill="text1" w:themeFillTint="33"/>
            <w:vAlign w:val="center"/>
          </w:tcPr>
          <w:p w14:paraId="6C1E607F">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۳.۶٪</w:t>
            </w:r>
          </w:p>
        </w:tc>
        <w:tc>
          <w:tcPr>
            <w:tcW w:w="1910" w:type="dxa"/>
            <w:shd w:val="clear" w:color="auto" w:fill="CCCCCC" w:themeFill="text1" w:themeFillTint="33"/>
            <w:vAlign w:val="center"/>
          </w:tcPr>
          <w:p w14:paraId="5F89F53D">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۱۹۰</w:t>
            </w:r>
          </w:p>
        </w:tc>
        <w:tc>
          <w:tcPr>
            <w:tcW w:w="1910" w:type="dxa"/>
            <w:shd w:val="clear" w:color="auto" w:fill="CCCCCC" w:themeFill="text1" w:themeFillTint="33"/>
            <w:vAlign w:val="center"/>
          </w:tcPr>
          <w:p w14:paraId="13A6106F">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۹۶.۴٪</w:t>
            </w:r>
          </w:p>
        </w:tc>
      </w:tr>
      <w:tr w14:paraId="40163D26">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8" w:hRule="atLeast"/>
        </w:trPr>
        <w:tc>
          <w:tcPr>
            <w:tcW w:w="1909" w:type="dxa"/>
            <w:vAlign w:val="center"/>
          </w:tcPr>
          <w:p w14:paraId="5B481DB3">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sz w:val="20"/>
                <w:szCs w:val="20"/>
                <w:lang w:bidi="fa-IR"/>
                <w14:textFill>
                  <w14:solidFill>
                    <w14:schemeClr w14:val="tx1"/>
                  </w14:solidFill>
                </w14:textFill>
              </w:rPr>
            </w:pPr>
            <w:r>
              <w:rPr>
                <w:rFonts w:hint="default" w:ascii="Arial" w:hAnsi="Arial" w:cs="Arial"/>
                <w:b/>
                <w:bCs/>
                <w:color w:val="000000" w:themeColor="text1"/>
                <w:sz w:val="20"/>
                <w:szCs w:val="20"/>
                <w:rtl/>
                <w:lang w:bidi="fa-IR"/>
                <w14:textFill>
                  <w14:solidFill>
                    <w14:schemeClr w14:val="tx1"/>
                  </w14:solidFill>
                </w14:textFill>
              </w:rPr>
              <w:t>آبریزش بینی</w:t>
            </w:r>
          </w:p>
        </w:tc>
        <w:tc>
          <w:tcPr>
            <w:tcW w:w="1909" w:type="dxa"/>
            <w:vAlign w:val="center"/>
          </w:tcPr>
          <w:p w14:paraId="2311D335">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۱۰</w:t>
            </w:r>
          </w:p>
        </w:tc>
        <w:tc>
          <w:tcPr>
            <w:tcW w:w="1910" w:type="dxa"/>
            <w:vAlign w:val="center"/>
          </w:tcPr>
          <w:p w14:paraId="640E5D58">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۵.۱٪</w:t>
            </w:r>
          </w:p>
        </w:tc>
        <w:tc>
          <w:tcPr>
            <w:tcW w:w="1910" w:type="dxa"/>
            <w:vAlign w:val="center"/>
          </w:tcPr>
          <w:p w14:paraId="465E7CE4">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۱۸۷</w:t>
            </w:r>
          </w:p>
        </w:tc>
        <w:tc>
          <w:tcPr>
            <w:tcW w:w="1910" w:type="dxa"/>
            <w:vAlign w:val="center"/>
          </w:tcPr>
          <w:p w14:paraId="362A2D90">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۹۴.۹٪</w:t>
            </w:r>
          </w:p>
        </w:tc>
      </w:tr>
      <w:tr w14:paraId="5BB1BC14">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1909" w:type="dxa"/>
            <w:shd w:val="clear" w:color="auto" w:fill="CCCCCC" w:themeFill="text1" w:themeFillTint="33"/>
            <w:vAlign w:val="center"/>
          </w:tcPr>
          <w:p w14:paraId="3A3E68DB">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sz w:val="20"/>
                <w:szCs w:val="20"/>
                <w:lang w:bidi="fa-IR"/>
                <w14:textFill>
                  <w14:solidFill>
                    <w14:schemeClr w14:val="tx1"/>
                  </w14:solidFill>
                </w14:textFill>
              </w:rPr>
            </w:pPr>
            <w:r>
              <w:rPr>
                <w:rFonts w:hint="default" w:ascii="Arial" w:hAnsi="Arial" w:cs="Arial"/>
                <w:b/>
                <w:bCs/>
                <w:color w:val="000000" w:themeColor="text1"/>
                <w:sz w:val="20"/>
                <w:szCs w:val="20"/>
                <w:rtl/>
                <w:lang w:bidi="fa-IR"/>
                <w14:textFill>
                  <w14:solidFill>
                    <w14:schemeClr w14:val="tx1"/>
                  </w14:solidFill>
                </w14:textFill>
              </w:rPr>
              <w:t>گلودرد</w:t>
            </w:r>
          </w:p>
        </w:tc>
        <w:tc>
          <w:tcPr>
            <w:tcW w:w="1909" w:type="dxa"/>
            <w:shd w:val="clear" w:color="auto" w:fill="CCCCCC" w:themeFill="text1" w:themeFillTint="33"/>
            <w:vAlign w:val="center"/>
          </w:tcPr>
          <w:p w14:paraId="6B5ECB1B">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۱۵</w:t>
            </w:r>
          </w:p>
        </w:tc>
        <w:tc>
          <w:tcPr>
            <w:tcW w:w="1910" w:type="dxa"/>
            <w:shd w:val="clear" w:color="auto" w:fill="CCCCCC" w:themeFill="text1" w:themeFillTint="33"/>
            <w:vAlign w:val="center"/>
          </w:tcPr>
          <w:p w14:paraId="67BC9692">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۷.۶٪</w:t>
            </w:r>
          </w:p>
        </w:tc>
        <w:tc>
          <w:tcPr>
            <w:tcW w:w="1910" w:type="dxa"/>
            <w:shd w:val="clear" w:color="auto" w:fill="CCCCCC" w:themeFill="text1" w:themeFillTint="33"/>
            <w:vAlign w:val="center"/>
          </w:tcPr>
          <w:p w14:paraId="5E11A0F1">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۱۸۲</w:t>
            </w:r>
          </w:p>
        </w:tc>
        <w:tc>
          <w:tcPr>
            <w:tcW w:w="1910" w:type="dxa"/>
            <w:shd w:val="clear" w:color="auto" w:fill="CCCCCC" w:themeFill="text1" w:themeFillTint="33"/>
            <w:vAlign w:val="center"/>
          </w:tcPr>
          <w:p w14:paraId="2749DB46">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۹۲.۴٪</w:t>
            </w:r>
          </w:p>
        </w:tc>
      </w:tr>
      <w:tr w14:paraId="79004DFF">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6" w:hRule="atLeast"/>
        </w:trPr>
        <w:tc>
          <w:tcPr>
            <w:tcW w:w="1909" w:type="dxa"/>
            <w:vAlign w:val="center"/>
          </w:tcPr>
          <w:p w14:paraId="7B145295">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sz w:val="20"/>
                <w:szCs w:val="20"/>
                <w:lang w:bidi="fa-IR"/>
                <w14:textFill>
                  <w14:solidFill>
                    <w14:schemeClr w14:val="tx1"/>
                  </w14:solidFill>
                </w14:textFill>
              </w:rPr>
            </w:pPr>
            <w:r>
              <w:rPr>
                <w:rFonts w:hint="default" w:ascii="Arial" w:hAnsi="Arial" w:cs="Arial"/>
                <w:b/>
                <w:bCs/>
                <w:color w:val="000000" w:themeColor="text1"/>
                <w:sz w:val="20"/>
                <w:szCs w:val="20"/>
                <w:rtl/>
                <w:lang w:bidi="fa-IR"/>
                <w14:textFill>
                  <w14:solidFill>
                    <w14:schemeClr w14:val="tx1"/>
                  </w14:solidFill>
                </w14:textFill>
              </w:rPr>
              <w:t>عطسه</w:t>
            </w:r>
          </w:p>
        </w:tc>
        <w:tc>
          <w:tcPr>
            <w:tcW w:w="1909" w:type="dxa"/>
            <w:vAlign w:val="center"/>
          </w:tcPr>
          <w:p w14:paraId="0F3AC932">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۲</w:t>
            </w:r>
          </w:p>
        </w:tc>
        <w:tc>
          <w:tcPr>
            <w:tcW w:w="1910" w:type="dxa"/>
            <w:vAlign w:val="center"/>
          </w:tcPr>
          <w:p w14:paraId="2AE2AC20">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۱.۰٪</w:t>
            </w:r>
          </w:p>
        </w:tc>
        <w:tc>
          <w:tcPr>
            <w:tcW w:w="1910" w:type="dxa"/>
            <w:vAlign w:val="center"/>
          </w:tcPr>
          <w:p w14:paraId="05C43317">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۱۹۵</w:t>
            </w:r>
          </w:p>
        </w:tc>
        <w:tc>
          <w:tcPr>
            <w:tcW w:w="1910" w:type="dxa"/>
            <w:vAlign w:val="center"/>
          </w:tcPr>
          <w:p w14:paraId="7BA3710A">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۹۹.۰٪</w:t>
            </w:r>
          </w:p>
        </w:tc>
      </w:tr>
      <w:tr w14:paraId="0AF74E9F">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1909" w:type="dxa"/>
            <w:shd w:val="clear" w:color="auto" w:fill="CCCCCC" w:themeFill="text1" w:themeFillTint="33"/>
            <w:vAlign w:val="center"/>
          </w:tcPr>
          <w:p w14:paraId="222B062C">
            <w:pPr>
              <w:keepNext w:val="0"/>
              <w:keepLines w:val="0"/>
              <w:widowControl/>
              <w:suppressLineNumbers w:val="0"/>
              <w:bidi/>
              <w:spacing w:before="0" w:beforeAutospacing="0" w:after="0" w:afterAutospacing="0" w:line="360" w:lineRule="auto"/>
              <w:ind w:left="0" w:right="0"/>
              <w:jc w:val="center"/>
              <w:rPr>
                <w:rFonts w:hint="default" w:ascii="Arial" w:hAnsi="Arial" w:cs="Arial"/>
                <w:b/>
                <w:bCs/>
                <w:color w:val="000000" w:themeColor="text1"/>
                <w:sz w:val="20"/>
                <w:szCs w:val="20"/>
                <w:lang w:bidi="fa-IR"/>
                <w14:textFill>
                  <w14:solidFill>
                    <w14:schemeClr w14:val="tx1"/>
                  </w14:solidFill>
                </w14:textFill>
              </w:rPr>
            </w:pPr>
            <w:r>
              <w:rPr>
                <w:rFonts w:hint="default" w:ascii="Arial" w:hAnsi="Arial" w:cs="Arial"/>
                <w:b/>
                <w:bCs/>
                <w:color w:val="000000" w:themeColor="text1"/>
                <w:sz w:val="20"/>
                <w:szCs w:val="20"/>
                <w:rtl/>
                <w:lang w:bidi="fa-IR"/>
                <w14:textFill>
                  <w14:solidFill>
                    <w14:schemeClr w14:val="tx1"/>
                  </w14:solidFill>
                </w14:textFill>
              </w:rPr>
              <w:t>وزوز گوش</w:t>
            </w:r>
          </w:p>
        </w:tc>
        <w:tc>
          <w:tcPr>
            <w:tcW w:w="1909" w:type="dxa"/>
            <w:shd w:val="clear" w:color="auto" w:fill="CCCCCC" w:themeFill="text1" w:themeFillTint="33"/>
            <w:vAlign w:val="center"/>
          </w:tcPr>
          <w:p w14:paraId="2BC3C8E0">
            <w:pPr>
              <w:keepNext w:val="0"/>
              <w:keepLines w:val="0"/>
              <w:widowControl/>
              <w:suppressLineNumbers w:val="0"/>
              <w:bidi/>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۶</w:t>
            </w:r>
          </w:p>
        </w:tc>
        <w:tc>
          <w:tcPr>
            <w:tcW w:w="1910" w:type="dxa"/>
            <w:shd w:val="clear" w:color="auto" w:fill="CCCCCC" w:themeFill="text1" w:themeFillTint="33"/>
            <w:vAlign w:val="center"/>
          </w:tcPr>
          <w:p w14:paraId="0EE4CF9D">
            <w:pPr>
              <w:keepNext w:val="0"/>
              <w:keepLines w:val="0"/>
              <w:widowControl/>
              <w:suppressLineNumbers w:val="0"/>
              <w:bidi/>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۳.۰٪</w:t>
            </w:r>
          </w:p>
        </w:tc>
        <w:tc>
          <w:tcPr>
            <w:tcW w:w="1910" w:type="dxa"/>
            <w:shd w:val="clear" w:color="auto" w:fill="CCCCCC" w:themeFill="text1" w:themeFillTint="33"/>
            <w:vAlign w:val="center"/>
          </w:tcPr>
          <w:p w14:paraId="5E3BFD43">
            <w:pPr>
              <w:keepNext w:val="0"/>
              <w:keepLines w:val="0"/>
              <w:widowControl/>
              <w:suppressLineNumbers w:val="0"/>
              <w:bidi/>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۱۹۱</w:t>
            </w:r>
          </w:p>
        </w:tc>
        <w:tc>
          <w:tcPr>
            <w:tcW w:w="1910" w:type="dxa"/>
            <w:shd w:val="clear" w:color="auto" w:fill="CCCCCC" w:themeFill="text1" w:themeFillTint="33"/>
            <w:vAlign w:val="center"/>
          </w:tcPr>
          <w:p w14:paraId="67F49D59">
            <w:pPr>
              <w:keepNext w:val="0"/>
              <w:keepLines w:val="0"/>
              <w:widowControl/>
              <w:suppressLineNumbers w:val="0"/>
              <w:bidi/>
              <w:spacing w:before="0" w:beforeAutospacing="0" w:after="0" w:afterAutospacing="0" w:line="360" w:lineRule="auto"/>
              <w:ind w:left="0" w:right="0"/>
              <w:jc w:val="center"/>
              <w:rPr>
                <w:rFonts w:hint="default" w:ascii="Arial" w:hAnsi="Arial" w:cs="Arial"/>
                <w:color w:val="000000" w:themeColor="text1"/>
                <w:sz w:val="20"/>
                <w:szCs w:val="20"/>
                <w:lang w:bidi="fa-IR"/>
                <w14:textFill>
                  <w14:solidFill>
                    <w14:schemeClr w14:val="tx1"/>
                  </w14:solidFill>
                </w14:textFill>
              </w:rPr>
            </w:pPr>
            <w:r>
              <w:rPr>
                <w:rFonts w:hint="default" w:ascii="Arial" w:hAnsi="Arial" w:cs="Arial"/>
                <w:color w:val="000000" w:themeColor="text1"/>
                <w:sz w:val="20"/>
                <w:szCs w:val="20"/>
                <w:rtl/>
                <w:lang w:bidi="fa-IR"/>
                <w14:textFill>
                  <w14:solidFill>
                    <w14:schemeClr w14:val="tx1"/>
                  </w14:solidFill>
                </w14:textFill>
              </w:rPr>
              <w:t>۹۷.۰٪</w:t>
            </w:r>
          </w:p>
        </w:tc>
      </w:tr>
    </w:tbl>
    <w:p w14:paraId="6A432334">
      <w:pPr>
        <w:spacing w:line="360" w:lineRule="auto"/>
        <w:jc w:val="both"/>
        <w:rPr>
          <w:rFonts w:hint="default" w:ascii="Arial" w:hAnsi="Arial" w:cs="Arial"/>
          <w:rtl/>
          <w:lang w:bidi="fa-IR"/>
        </w:rPr>
      </w:pPr>
      <w:r>
        <w:rPr>
          <w:rFonts w:hint="default" w:ascii="Arial" w:hAnsi="Arial" w:cs="Arial"/>
          <w:lang w:bidi="fa-IR"/>
        </w:rPr>
        <w:t>PND: post nasal drip</w:t>
      </w:r>
    </w:p>
    <w:p w14:paraId="5E1D8396">
      <w:pPr>
        <w:bidi/>
        <w:spacing w:line="360" w:lineRule="auto"/>
        <w:jc w:val="both"/>
        <w:rPr>
          <w:rFonts w:hint="default" w:ascii="Arial" w:hAnsi="Arial" w:cs="Arial"/>
          <w:sz w:val="28"/>
          <w:szCs w:val="28"/>
          <w:rtl/>
          <w:lang w:bidi="fa-IR"/>
        </w:rPr>
      </w:pPr>
    </w:p>
    <w:p w14:paraId="28DFE251">
      <w:pPr>
        <w:bidi/>
        <w:spacing w:line="360" w:lineRule="auto"/>
        <w:jc w:val="both"/>
        <w:rPr>
          <w:rFonts w:hint="default" w:ascii="Arial" w:hAnsi="Arial" w:cs="Arial"/>
          <w:sz w:val="28"/>
          <w:szCs w:val="28"/>
          <w:rtl/>
        </w:rPr>
      </w:pPr>
      <w:r>
        <w:rPr>
          <w:rFonts w:hint="default" w:ascii="Arial" w:hAnsi="Arial" w:cs="Arial"/>
          <w:sz w:val="28"/>
          <w:szCs w:val="28"/>
          <w:rtl/>
          <w:lang w:bidi="fa-IR"/>
        </w:rPr>
        <w:t xml:space="preserve">در جدول2، به بررسی ارتباط بین شدت بیماری کووید-19 با علائم پرداخته شد و همانطور که مشاهده می شود، دیسفاژی، خونریزی بینی، هایپوسمیا، و وزوز گوش با شدت بیماری ارتباط داشتند. </w:t>
      </w:r>
      <w:r>
        <w:rPr>
          <w:rFonts w:hint="default" w:ascii="Arial" w:hAnsi="Arial" w:cs="Arial"/>
          <w:sz w:val="28"/>
          <w:szCs w:val="28"/>
          <w:rtl/>
        </w:rPr>
        <w:t>خونریزی بینی و دیسفاژی ارتباط مستقیم با شدت بیماری داشت و بر اساس یافته های ما دیده شد که در بیماران با شدت بیشتر، احتمال بروز این علائم افزایش می‌یابد. هایپوسمیا و وزوز گوش نیز در نوع های خفیف تر بیماری، شیوع بیشتری داشت.</w:t>
      </w:r>
    </w:p>
    <w:p w14:paraId="1D5C1B57">
      <w:pPr>
        <w:bidi/>
        <w:spacing w:line="360" w:lineRule="auto"/>
        <w:jc w:val="both"/>
        <w:rPr>
          <w:rFonts w:hint="default" w:ascii="Arial" w:hAnsi="Arial" w:cs="Arial"/>
          <w:sz w:val="28"/>
          <w:szCs w:val="28"/>
          <w:rtl/>
          <w:lang w:bidi="fa-IR"/>
        </w:rPr>
      </w:pPr>
    </w:p>
    <w:p w14:paraId="7C704710">
      <w:pPr>
        <w:bidi/>
        <w:spacing w:line="360" w:lineRule="auto"/>
        <w:jc w:val="both"/>
        <w:rPr>
          <w:rFonts w:hint="default" w:ascii="Arial" w:hAnsi="Arial" w:cs="Arial"/>
          <w:b/>
          <w:bCs/>
          <w:sz w:val="28"/>
          <w:szCs w:val="28"/>
          <w:lang w:bidi="fa-IR"/>
        </w:rPr>
      </w:pPr>
      <w:r>
        <w:rPr>
          <w:rFonts w:hint="default" w:ascii="Arial" w:hAnsi="Arial" w:cs="Arial"/>
          <w:b/>
          <w:bCs/>
          <w:sz w:val="28"/>
          <w:szCs w:val="28"/>
          <w:rtl/>
          <w:lang w:bidi="fa-IR"/>
        </w:rPr>
        <w:t xml:space="preserve">جدول 2. تعیین ارتباط علائم گوش و حلق و بینی با شدت بیماری در بیماران کووید 19 براساس آزمون آماری </w:t>
      </w:r>
      <w:r>
        <w:rPr>
          <w:rFonts w:hint="default" w:ascii="Arial" w:hAnsi="Arial" w:cs="Arial"/>
          <w:b/>
          <w:bCs/>
          <w:sz w:val="28"/>
          <w:szCs w:val="28"/>
          <w:lang w:bidi="fa-IR"/>
        </w:rPr>
        <w:t>ANOVA</w:t>
      </w:r>
    </w:p>
    <w:tbl>
      <w:tblPr>
        <w:tblStyle w:val="13"/>
        <w:bidiVisual/>
        <w:tblW w:w="9504" w:type="dxa"/>
        <w:tblInd w:w="72" w:type="dxa"/>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84"/>
        <w:gridCol w:w="1584"/>
        <w:gridCol w:w="1584"/>
        <w:gridCol w:w="1584"/>
        <w:gridCol w:w="1584"/>
        <w:gridCol w:w="1584"/>
      </w:tblGrid>
      <w:tr w14:paraId="79555002">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584" w:type="dxa"/>
            <w:tcBorders>
              <w:bottom w:val="single" w:color="000000" w:themeColor="text1" w:sz="4" w:space="0"/>
              <w:insideH w:val="single" w:sz="4" w:space="0"/>
            </w:tcBorders>
            <w:vAlign w:val="center"/>
          </w:tcPr>
          <w:p w14:paraId="14FD3B10">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lang w:bidi="fa-IR"/>
                <w14:textFill>
                  <w14:solidFill>
                    <w14:schemeClr w14:val="tx1"/>
                  </w14:solidFill>
                </w14:textFill>
              </w:rPr>
            </w:pPr>
            <w:r>
              <w:rPr>
                <w:rFonts w:hint="default" w:ascii="Arial" w:hAnsi="Arial" w:cs="Arial"/>
                <w:b/>
                <w:bCs/>
                <w:color w:val="000000" w:themeColor="text1"/>
                <w:rtl/>
                <w:lang w:bidi="fa-IR"/>
                <w14:textFill>
                  <w14:solidFill>
                    <w14:schemeClr w14:val="tx1"/>
                  </w14:solidFill>
                </w14:textFill>
              </w:rPr>
              <w:t>علامت</w:t>
            </w:r>
          </w:p>
        </w:tc>
        <w:tc>
          <w:tcPr>
            <w:tcW w:w="1584" w:type="dxa"/>
            <w:tcBorders>
              <w:bottom w:val="single" w:color="000000" w:themeColor="text1" w:sz="4" w:space="0"/>
              <w:insideH w:val="single" w:sz="4" w:space="0"/>
            </w:tcBorders>
            <w:vAlign w:val="center"/>
          </w:tcPr>
          <w:p w14:paraId="2D916266">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lang w:bidi="fa-IR"/>
                <w14:textFill>
                  <w14:solidFill>
                    <w14:schemeClr w14:val="tx1"/>
                  </w14:solidFill>
                </w14:textFill>
              </w:rPr>
            </w:pPr>
            <w:r>
              <w:rPr>
                <w:rFonts w:hint="default" w:ascii="Arial" w:hAnsi="Arial" w:cs="Arial"/>
                <w:b/>
                <w:bCs/>
                <w:color w:val="000000" w:themeColor="text1"/>
                <w:rtl/>
                <w:lang w:bidi="fa-IR"/>
                <w14:textFill>
                  <w14:solidFill>
                    <w14:schemeClr w14:val="tx1"/>
                  </w14:solidFill>
                </w14:textFill>
              </w:rPr>
              <w:t>میانگین مربعات بین گروه‌ها</w:t>
            </w:r>
          </w:p>
        </w:tc>
        <w:tc>
          <w:tcPr>
            <w:tcW w:w="1584" w:type="dxa"/>
            <w:tcBorders>
              <w:bottom w:val="single" w:color="000000" w:themeColor="text1" w:sz="4" w:space="0"/>
              <w:insideH w:val="single" w:sz="4" w:space="0"/>
            </w:tcBorders>
            <w:vAlign w:val="center"/>
          </w:tcPr>
          <w:p w14:paraId="7946E809">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lang w:bidi="fa-IR"/>
                <w14:textFill>
                  <w14:solidFill>
                    <w14:schemeClr w14:val="tx1"/>
                  </w14:solidFill>
                </w14:textFill>
              </w:rPr>
            </w:pPr>
            <w:r>
              <w:rPr>
                <w:rFonts w:hint="default" w:ascii="Arial" w:hAnsi="Arial" w:cs="Arial"/>
                <w:b/>
                <w:bCs/>
                <w:color w:val="000000" w:themeColor="text1"/>
                <w:rtl/>
                <w:lang w:bidi="fa-IR"/>
                <w14:textFill>
                  <w14:solidFill>
                    <w14:schemeClr w14:val="tx1"/>
                  </w14:solidFill>
                </w14:textFill>
              </w:rPr>
              <w:t>درجه آزادی</w:t>
            </w:r>
          </w:p>
        </w:tc>
        <w:tc>
          <w:tcPr>
            <w:tcW w:w="1584" w:type="dxa"/>
            <w:tcBorders>
              <w:bottom w:val="single" w:color="000000" w:themeColor="text1" w:sz="4" w:space="0"/>
              <w:insideH w:val="single" w:sz="4" w:space="0"/>
            </w:tcBorders>
            <w:vAlign w:val="center"/>
          </w:tcPr>
          <w:p w14:paraId="5BEA2B4C">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lang w:bidi="fa-IR"/>
                <w14:textFill>
                  <w14:solidFill>
                    <w14:schemeClr w14:val="tx1"/>
                  </w14:solidFill>
                </w14:textFill>
              </w:rPr>
            </w:pPr>
            <w:r>
              <w:rPr>
                <w:rFonts w:hint="default" w:ascii="Arial" w:hAnsi="Arial" w:cs="Arial"/>
                <w:b/>
                <w:bCs/>
                <w:color w:val="000000" w:themeColor="text1"/>
                <w:rtl/>
                <w:lang w:bidi="fa-IR"/>
                <w14:textFill>
                  <w14:solidFill>
                    <w14:schemeClr w14:val="tx1"/>
                  </w14:solidFill>
                </w14:textFill>
              </w:rPr>
              <w:t>میانگین مربعات درون گروه‌ها</w:t>
            </w:r>
          </w:p>
        </w:tc>
        <w:tc>
          <w:tcPr>
            <w:tcW w:w="1584" w:type="dxa"/>
            <w:tcBorders>
              <w:bottom w:val="single" w:color="000000" w:themeColor="text1" w:sz="4" w:space="0"/>
              <w:insideH w:val="single" w:sz="4" w:space="0"/>
            </w:tcBorders>
            <w:vAlign w:val="center"/>
          </w:tcPr>
          <w:p w14:paraId="6FB6994D">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lang w:bidi="fa-IR"/>
                <w14:textFill>
                  <w14:solidFill>
                    <w14:schemeClr w14:val="tx1"/>
                  </w14:solidFill>
                </w14:textFill>
              </w:rPr>
            </w:pPr>
            <w:r>
              <w:rPr>
                <w:rFonts w:hint="default" w:ascii="Arial" w:hAnsi="Arial" w:cs="Arial"/>
                <w:b/>
                <w:bCs/>
                <w:color w:val="000000" w:themeColor="text1"/>
                <w:lang w:bidi="fa-IR"/>
                <w14:textFill>
                  <w14:solidFill>
                    <w14:schemeClr w14:val="tx1"/>
                  </w14:solidFill>
                </w14:textFill>
              </w:rPr>
              <w:t>F</w:t>
            </w:r>
          </w:p>
        </w:tc>
        <w:tc>
          <w:tcPr>
            <w:tcW w:w="1584" w:type="dxa"/>
            <w:tcBorders>
              <w:bottom w:val="single" w:color="000000" w:themeColor="text1" w:sz="4" w:space="0"/>
              <w:insideH w:val="single" w:sz="4" w:space="0"/>
            </w:tcBorders>
            <w:vAlign w:val="center"/>
          </w:tcPr>
          <w:p w14:paraId="01BC0EB2">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lang w:bidi="fa-IR"/>
                <w14:textFill>
                  <w14:solidFill>
                    <w14:schemeClr w14:val="tx1"/>
                  </w14:solidFill>
                </w14:textFill>
              </w:rPr>
            </w:pPr>
            <w:r>
              <w:rPr>
                <w:rFonts w:hint="default" w:ascii="Arial" w:hAnsi="Arial" w:cs="Arial"/>
                <w:b/>
                <w:bCs/>
                <w:color w:val="000000" w:themeColor="text1"/>
                <w:rtl/>
                <w:lang w:bidi="fa-IR"/>
                <w14:textFill>
                  <w14:solidFill>
                    <w14:schemeClr w14:val="tx1"/>
                  </w14:solidFill>
                </w14:textFill>
              </w:rPr>
              <w:t>سطح معناداری</w:t>
            </w:r>
            <w:r>
              <w:rPr>
                <w:rFonts w:hint="default" w:ascii="Arial" w:hAnsi="Arial" w:cs="Arial"/>
                <w:b/>
                <w:bCs/>
                <w:color w:val="000000" w:themeColor="text1"/>
                <w:lang w:bidi="fa-IR"/>
                <w14:textFill>
                  <w14:solidFill>
                    <w14:schemeClr w14:val="tx1"/>
                  </w14:solidFill>
                </w14:textFill>
              </w:rPr>
              <w:t xml:space="preserve"> (Sig.)</w:t>
            </w:r>
          </w:p>
        </w:tc>
      </w:tr>
      <w:tr w14:paraId="4526CBAB">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584" w:type="dxa"/>
            <w:shd w:val="clear" w:color="auto" w:fill="CCCCCC" w:themeFill="text1" w:themeFillTint="33"/>
            <w:vAlign w:val="center"/>
          </w:tcPr>
          <w:p w14:paraId="5369951C">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lang w:bidi="fa-IR"/>
                <w14:textFill>
                  <w14:solidFill>
                    <w14:schemeClr w14:val="tx1"/>
                  </w14:solidFill>
                </w14:textFill>
              </w:rPr>
            </w:pPr>
            <w:r>
              <w:rPr>
                <w:rFonts w:hint="default" w:ascii="Arial" w:hAnsi="Arial" w:cs="Arial"/>
                <w:b/>
                <w:bCs/>
                <w:color w:val="000000" w:themeColor="text1"/>
                <w:rtl/>
                <w:lang w:bidi="fa-IR"/>
                <w14:textFill>
                  <w14:solidFill>
                    <w14:schemeClr w14:val="tx1"/>
                  </w14:solidFill>
                </w14:textFill>
              </w:rPr>
              <w:t>سرفه</w:t>
            </w:r>
          </w:p>
        </w:tc>
        <w:tc>
          <w:tcPr>
            <w:tcW w:w="1584" w:type="dxa"/>
            <w:shd w:val="clear" w:color="auto" w:fill="CCCCCC" w:themeFill="text1" w:themeFillTint="33"/>
            <w:vAlign w:val="center"/>
          </w:tcPr>
          <w:p w14:paraId="67046B82">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۰٫۲۳۰</w:t>
            </w:r>
          </w:p>
        </w:tc>
        <w:tc>
          <w:tcPr>
            <w:tcW w:w="1584" w:type="dxa"/>
            <w:shd w:val="clear" w:color="auto" w:fill="CCCCCC" w:themeFill="text1" w:themeFillTint="33"/>
            <w:vAlign w:val="center"/>
          </w:tcPr>
          <w:p w14:paraId="67838948">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۲</w:t>
            </w:r>
          </w:p>
        </w:tc>
        <w:tc>
          <w:tcPr>
            <w:tcW w:w="1584" w:type="dxa"/>
            <w:shd w:val="clear" w:color="auto" w:fill="CCCCCC" w:themeFill="text1" w:themeFillTint="33"/>
            <w:vAlign w:val="center"/>
          </w:tcPr>
          <w:p w14:paraId="2B7960E1">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۰٫۲۴۶</w:t>
            </w:r>
          </w:p>
        </w:tc>
        <w:tc>
          <w:tcPr>
            <w:tcW w:w="1584" w:type="dxa"/>
            <w:shd w:val="clear" w:color="auto" w:fill="CCCCCC" w:themeFill="text1" w:themeFillTint="33"/>
            <w:vAlign w:val="center"/>
          </w:tcPr>
          <w:p w14:paraId="659AE40C">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۰٫۹۳۲</w:t>
            </w:r>
          </w:p>
        </w:tc>
        <w:tc>
          <w:tcPr>
            <w:tcW w:w="1584" w:type="dxa"/>
            <w:shd w:val="clear" w:color="auto" w:fill="CCCCCC" w:themeFill="text1" w:themeFillTint="33"/>
            <w:vAlign w:val="center"/>
          </w:tcPr>
          <w:p w14:paraId="2BF62D26">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۰٫۳۹۵</w:t>
            </w:r>
          </w:p>
        </w:tc>
      </w:tr>
      <w:tr w14:paraId="7FBC4549">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584" w:type="dxa"/>
            <w:vAlign w:val="center"/>
          </w:tcPr>
          <w:p w14:paraId="5A831260">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lang w:bidi="fa-IR"/>
                <w14:textFill>
                  <w14:solidFill>
                    <w14:schemeClr w14:val="tx1"/>
                  </w14:solidFill>
                </w14:textFill>
              </w:rPr>
            </w:pPr>
            <w:r>
              <w:rPr>
                <w:rFonts w:hint="default" w:ascii="Arial" w:hAnsi="Arial" w:cs="Arial"/>
                <w:b/>
                <w:bCs/>
                <w:color w:val="000000" w:themeColor="text1"/>
                <w:rtl/>
                <w:lang w:bidi="fa-IR"/>
                <w14:textFill>
                  <w14:solidFill>
                    <w14:schemeClr w14:val="tx1"/>
                  </w14:solidFill>
                </w14:textFill>
              </w:rPr>
              <w:t>سرگیجه</w:t>
            </w:r>
          </w:p>
        </w:tc>
        <w:tc>
          <w:tcPr>
            <w:tcW w:w="1584" w:type="dxa"/>
            <w:vAlign w:val="center"/>
          </w:tcPr>
          <w:p w14:paraId="18BAE218">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۰٫۰۲۰</w:t>
            </w:r>
          </w:p>
        </w:tc>
        <w:tc>
          <w:tcPr>
            <w:tcW w:w="1584" w:type="dxa"/>
            <w:vAlign w:val="center"/>
          </w:tcPr>
          <w:p w14:paraId="67122783">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۲</w:t>
            </w:r>
          </w:p>
        </w:tc>
        <w:tc>
          <w:tcPr>
            <w:tcW w:w="1584" w:type="dxa"/>
            <w:vAlign w:val="center"/>
          </w:tcPr>
          <w:p w14:paraId="02508C93">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۰٫۱۵۵</w:t>
            </w:r>
          </w:p>
        </w:tc>
        <w:tc>
          <w:tcPr>
            <w:tcW w:w="1584" w:type="dxa"/>
            <w:vAlign w:val="center"/>
          </w:tcPr>
          <w:p w14:paraId="2B942C3E">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۰٫۱۳۱</w:t>
            </w:r>
          </w:p>
        </w:tc>
        <w:tc>
          <w:tcPr>
            <w:tcW w:w="1584" w:type="dxa"/>
            <w:vAlign w:val="center"/>
          </w:tcPr>
          <w:p w14:paraId="339EEA0A">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۰٫۸۷۷</w:t>
            </w:r>
          </w:p>
        </w:tc>
      </w:tr>
      <w:tr w14:paraId="3D8B0A1A">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584" w:type="dxa"/>
            <w:shd w:val="clear" w:color="auto" w:fill="CCCCCC" w:themeFill="text1" w:themeFillTint="33"/>
            <w:vAlign w:val="center"/>
          </w:tcPr>
          <w:p w14:paraId="124A9488">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lang w:bidi="fa-IR"/>
                <w14:textFill>
                  <w14:solidFill>
                    <w14:schemeClr w14:val="tx1"/>
                  </w14:solidFill>
                </w14:textFill>
              </w:rPr>
            </w:pPr>
            <w:r>
              <w:rPr>
                <w:rFonts w:hint="default" w:ascii="Arial" w:hAnsi="Arial" w:cs="Arial"/>
                <w:b/>
                <w:bCs/>
                <w:color w:val="000000" w:themeColor="text1"/>
                <w:rtl/>
                <w:lang w:bidi="fa-IR"/>
                <w14:textFill>
                  <w14:solidFill>
                    <w14:schemeClr w14:val="tx1"/>
                  </w14:solidFill>
                </w14:textFill>
              </w:rPr>
              <w:t>دیسفاژی</w:t>
            </w:r>
          </w:p>
        </w:tc>
        <w:tc>
          <w:tcPr>
            <w:tcW w:w="1584" w:type="dxa"/>
            <w:shd w:val="clear" w:color="auto" w:fill="CCCCCC" w:themeFill="text1" w:themeFillTint="33"/>
            <w:vAlign w:val="center"/>
          </w:tcPr>
          <w:p w14:paraId="327CD811">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۰٫۰۴۸</w:t>
            </w:r>
          </w:p>
        </w:tc>
        <w:tc>
          <w:tcPr>
            <w:tcW w:w="1584" w:type="dxa"/>
            <w:shd w:val="clear" w:color="auto" w:fill="CCCCCC" w:themeFill="text1" w:themeFillTint="33"/>
            <w:vAlign w:val="center"/>
          </w:tcPr>
          <w:p w14:paraId="5906B2D3">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۲</w:t>
            </w:r>
          </w:p>
        </w:tc>
        <w:tc>
          <w:tcPr>
            <w:tcW w:w="1584" w:type="dxa"/>
            <w:shd w:val="clear" w:color="auto" w:fill="CCCCCC" w:themeFill="text1" w:themeFillTint="33"/>
            <w:vAlign w:val="center"/>
          </w:tcPr>
          <w:p w14:paraId="7A3F1FF8">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۰٫۰۱۵</w:t>
            </w:r>
          </w:p>
        </w:tc>
        <w:tc>
          <w:tcPr>
            <w:tcW w:w="1584" w:type="dxa"/>
            <w:shd w:val="clear" w:color="auto" w:fill="CCCCCC" w:themeFill="text1" w:themeFillTint="33"/>
            <w:vAlign w:val="center"/>
          </w:tcPr>
          <w:p w14:paraId="0D915DEF">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۳٫۲۶۵</w:t>
            </w:r>
          </w:p>
        </w:tc>
        <w:tc>
          <w:tcPr>
            <w:tcW w:w="1584" w:type="dxa"/>
            <w:shd w:val="clear" w:color="auto" w:fill="CCCCCC" w:themeFill="text1" w:themeFillTint="33"/>
            <w:vAlign w:val="center"/>
          </w:tcPr>
          <w:p w14:paraId="6CBF67B4">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۰٫۰۴۰</w:t>
            </w:r>
          </w:p>
        </w:tc>
      </w:tr>
      <w:tr w14:paraId="3C55C3C0">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584" w:type="dxa"/>
            <w:vAlign w:val="center"/>
          </w:tcPr>
          <w:p w14:paraId="3AD595FB">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lang w:bidi="fa-IR"/>
                <w14:textFill>
                  <w14:solidFill>
                    <w14:schemeClr w14:val="tx1"/>
                  </w14:solidFill>
                </w14:textFill>
              </w:rPr>
            </w:pPr>
            <w:r>
              <w:rPr>
                <w:rFonts w:hint="default" w:ascii="Arial" w:hAnsi="Arial" w:cs="Arial"/>
                <w:b/>
                <w:bCs/>
                <w:color w:val="000000" w:themeColor="text1"/>
                <w:rtl/>
                <w:lang w:bidi="fa-IR"/>
                <w14:textFill>
                  <w14:solidFill>
                    <w14:schemeClr w14:val="tx1"/>
                  </w14:solidFill>
                </w14:textFill>
              </w:rPr>
              <w:t>خونریزی بینی</w:t>
            </w:r>
          </w:p>
        </w:tc>
        <w:tc>
          <w:tcPr>
            <w:tcW w:w="1584" w:type="dxa"/>
            <w:vAlign w:val="center"/>
          </w:tcPr>
          <w:p w14:paraId="3D472CAF">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۰٫۰۵۶</w:t>
            </w:r>
          </w:p>
        </w:tc>
        <w:tc>
          <w:tcPr>
            <w:tcW w:w="1584" w:type="dxa"/>
            <w:vAlign w:val="center"/>
          </w:tcPr>
          <w:p w14:paraId="3E96130F">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۲</w:t>
            </w:r>
          </w:p>
        </w:tc>
        <w:tc>
          <w:tcPr>
            <w:tcW w:w="1584" w:type="dxa"/>
            <w:vAlign w:val="center"/>
          </w:tcPr>
          <w:p w14:paraId="7920AB65">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۰٫۰۱۰</w:t>
            </w:r>
          </w:p>
        </w:tc>
        <w:tc>
          <w:tcPr>
            <w:tcW w:w="1584" w:type="dxa"/>
            <w:vAlign w:val="center"/>
          </w:tcPr>
          <w:p w14:paraId="5A7460D7">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۵٫۸۳۸</w:t>
            </w:r>
          </w:p>
        </w:tc>
        <w:tc>
          <w:tcPr>
            <w:tcW w:w="1584" w:type="dxa"/>
            <w:vAlign w:val="center"/>
          </w:tcPr>
          <w:p w14:paraId="7067D62D">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۰٫۰۰۳</w:t>
            </w:r>
          </w:p>
        </w:tc>
      </w:tr>
      <w:tr w14:paraId="2CEC6C99">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584" w:type="dxa"/>
            <w:shd w:val="clear" w:color="auto" w:fill="CCCCCC" w:themeFill="text1" w:themeFillTint="33"/>
            <w:vAlign w:val="center"/>
          </w:tcPr>
          <w:p w14:paraId="65B7A96E">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lang w:bidi="fa-IR"/>
                <w14:textFill>
                  <w14:solidFill>
                    <w14:schemeClr w14:val="tx1"/>
                  </w14:solidFill>
                </w14:textFill>
              </w:rPr>
            </w:pPr>
            <w:r>
              <w:rPr>
                <w:rFonts w:hint="default" w:ascii="Arial" w:hAnsi="Arial" w:cs="Arial"/>
                <w:b/>
                <w:bCs/>
                <w:color w:val="000000" w:themeColor="text1"/>
                <w:rtl/>
                <w:lang w:bidi="fa-IR"/>
                <w14:textFill>
                  <w14:solidFill>
                    <w14:schemeClr w14:val="tx1"/>
                  </w14:solidFill>
                </w14:textFill>
              </w:rPr>
              <w:t>کاهش شنوایی</w:t>
            </w:r>
          </w:p>
        </w:tc>
        <w:tc>
          <w:tcPr>
            <w:tcW w:w="1584" w:type="dxa"/>
            <w:shd w:val="clear" w:color="auto" w:fill="CCCCCC" w:themeFill="text1" w:themeFillTint="33"/>
            <w:vAlign w:val="center"/>
          </w:tcPr>
          <w:p w14:paraId="20095E7C">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۰٫۰۰۰</w:t>
            </w:r>
          </w:p>
        </w:tc>
        <w:tc>
          <w:tcPr>
            <w:tcW w:w="1584" w:type="dxa"/>
            <w:shd w:val="clear" w:color="auto" w:fill="CCCCCC" w:themeFill="text1" w:themeFillTint="33"/>
            <w:vAlign w:val="center"/>
          </w:tcPr>
          <w:p w14:paraId="4BF0A076">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۲</w:t>
            </w:r>
          </w:p>
        </w:tc>
        <w:tc>
          <w:tcPr>
            <w:tcW w:w="1584" w:type="dxa"/>
            <w:shd w:val="clear" w:color="auto" w:fill="CCCCCC" w:themeFill="text1" w:themeFillTint="33"/>
            <w:vAlign w:val="center"/>
          </w:tcPr>
          <w:p w14:paraId="2430140E">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۰٫۰۰۰</w:t>
            </w:r>
          </w:p>
        </w:tc>
        <w:tc>
          <w:tcPr>
            <w:tcW w:w="1584" w:type="dxa"/>
            <w:shd w:val="clear" w:color="auto" w:fill="CCCCCC" w:themeFill="text1" w:themeFillTint="33"/>
            <w:vAlign w:val="center"/>
          </w:tcPr>
          <w:p w14:paraId="4028D7D0">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lang w:bidi="fa-IR"/>
                <w14:textFill>
                  <w14:solidFill>
                    <w14:schemeClr w14:val="tx1"/>
                  </w14:solidFill>
                </w14:textFill>
              </w:rPr>
              <w:t>-</w:t>
            </w:r>
          </w:p>
        </w:tc>
        <w:tc>
          <w:tcPr>
            <w:tcW w:w="1584" w:type="dxa"/>
            <w:shd w:val="clear" w:color="auto" w:fill="CCCCCC" w:themeFill="text1" w:themeFillTint="33"/>
            <w:vAlign w:val="center"/>
          </w:tcPr>
          <w:p w14:paraId="38D63AA2">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lang w:bidi="fa-IR"/>
                <w14:textFill>
                  <w14:solidFill>
                    <w14:schemeClr w14:val="tx1"/>
                  </w14:solidFill>
                </w14:textFill>
              </w:rPr>
              <w:t>-</w:t>
            </w:r>
          </w:p>
        </w:tc>
      </w:tr>
      <w:tr w14:paraId="6F0183E2">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584" w:type="dxa"/>
            <w:vAlign w:val="center"/>
          </w:tcPr>
          <w:p w14:paraId="08E00016">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lang w:bidi="fa-IR"/>
                <w14:textFill>
                  <w14:solidFill>
                    <w14:schemeClr w14:val="tx1"/>
                  </w14:solidFill>
                </w14:textFill>
              </w:rPr>
            </w:pPr>
            <w:r>
              <w:rPr>
                <w:rFonts w:hint="default" w:ascii="Arial" w:hAnsi="Arial" w:cs="Arial"/>
                <w:b/>
                <w:bCs/>
                <w:color w:val="000000" w:themeColor="text1"/>
                <w:rtl/>
                <w:lang w:bidi="fa-IR"/>
                <w14:textFill>
                  <w14:solidFill>
                    <w14:schemeClr w14:val="tx1"/>
                  </w14:solidFill>
                </w14:textFill>
              </w:rPr>
              <w:t>هایپوگنزی</w:t>
            </w:r>
          </w:p>
        </w:tc>
        <w:tc>
          <w:tcPr>
            <w:tcW w:w="1584" w:type="dxa"/>
            <w:vAlign w:val="center"/>
          </w:tcPr>
          <w:p w14:paraId="07A66AA9">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۰٫۱۴۵</w:t>
            </w:r>
          </w:p>
        </w:tc>
        <w:tc>
          <w:tcPr>
            <w:tcW w:w="1584" w:type="dxa"/>
            <w:vAlign w:val="center"/>
          </w:tcPr>
          <w:p w14:paraId="39E17DC9">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۲</w:t>
            </w:r>
          </w:p>
        </w:tc>
        <w:tc>
          <w:tcPr>
            <w:tcW w:w="1584" w:type="dxa"/>
            <w:vAlign w:val="center"/>
          </w:tcPr>
          <w:p w14:paraId="2F62757A">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۰٫۰۷۰</w:t>
            </w:r>
          </w:p>
        </w:tc>
        <w:tc>
          <w:tcPr>
            <w:tcW w:w="1584" w:type="dxa"/>
            <w:vAlign w:val="center"/>
          </w:tcPr>
          <w:p w14:paraId="05E48D3F">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۲٫۰۶۱</w:t>
            </w:r>
          </w:p>
        </w:tc>
        <w:tc>
          <w:tcPr>
            <w:tcW w:w="1584" w:type="dxa"/>
            <w:vAlign w:val="center"/>
          </w:tcPr>
          <w:p w14:paraId="7252F6C4">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۰٫۱۳۰</w:t>
            </w:r>
          </w:p>
        </w:tc>
      </w:tr>
      <w:tr w14:paraId="2A65FA35">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584" w:type="dxa"/>
            <w:shd w:val="clear" w:color="auto" w:fill="CCCCCC" w:themeFill="text1" w:themeFillTint="33"/>
            <w:vAlign w:val="center"/>
          </w:tcPr>
          <w:p w14:paraId="7EED0BD4">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lang w:bidi="fa-IR"/>
                <w14:textFill>
                  <w14:solidFill>
                    <w14:schemeClr w14:val="tx1"/>
                  </w14:solidFill>
                </w14:textFill>
              </w:rPr>
            </w:pPr>
            <w:r>
              <w:rPr>
                <w:rFonts w:hint="default" w:ascii="Arial" w:hAnsi="Arial" w:cs="Arial"/>
                <w:b/>
                <w:bCs/>
                <w:color w:val="000000" w:themeColor="text1"/>
                <w:rtl/>
                <w:lang w:bidi="fa-IR"/>
                <w14:textFill>
                  <w14:solidFill>
                    <w14:schemeClr w14:val="tx1"/>
                  </w14:solidFill>
                </w14:textFill>
              </w:rPr>
              <w:t>گرفتگی صدا</w:t>
            </w:r>
          </w:p>
        </w:tc>
        <w:tc>
          <w:tcPr>
            <w:tcW w:w="1584" w:type="dxa"/>
            <w:shd w:val="clear" w:color="auto" w:fill="CCCCCC" w:themeFill="text1" w:themeFillTint="33"/>
            <w:vAlign w:val="center"/>
          </w:tcPr>
          <w:p w14:paraId="040F2AA4">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۰٫۰۰۸</w:t>
            </w:r>
          </w:p>
        </w:tc>
        <w:tc>
          <w:tcPr>
            <w:tcW w:w="1584" w:type="dxa"/>
            <w:shd w:val="clear" w:color="auto" w:fill="CCCCCC" w:themeFill="text1" w:themeFillTint="33"/>
            <w:vAlign w:val="center"/>
          </w:tcPr>
          <w:p w14:paraId="2BDC10DC">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۲</w:t>
            </w:r>
          </w:p>
        </w:tc>
        <w:tc>
          <w:tcPr>
            <w:tcW w:w="1584" w:type="dxa"/>
            <w:shd w:val="clear" w:color="auto" w:fill="CCCCCC" w:themeFill="text1" w:themeFillTint="33"/>
            <w:vAlign w:val="center"/>
          </w:tcPr>
          <w:p w14:paraId="6E182514">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۰٫۰۱۰</w:t>
            </w:r>
          </w:p>
        </w:tc>
        <w:tc>
          <w:tcPr>
            <w:tcW w:w="1584" w:type="dxa"/>
            <w:shd w:val="clear" w:color="auto" w:fill="CCCCCC" w:themeFill="text1" w:themeFillTint="33"/>
            <w:vAlign w:val="center"/>
          </w:tcPr>
          <w:p w14:paraId="30990D64">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۰٫۸۱۷</w:t>
            </w:r>
          </w:p>
        </w:tc>
        <w:tc>
          <w:tcPr>
            <w:tcW w:w="1584" w:type="dxa"/>
            <w:shd w:val="clear" w:color="auto" w:fill="CCCCCC" w:themeFill="text1" w:themeFillTint="33"/>
            <w:vAlign w:val="center"/>
          </w:tcPr>
          <w:p w14:paraId="07CCC2F6">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۰٫۴۴۳</w:t>
            </w:r>
          </w:p>
        </w:tc>
      </w:tr>
      <w:tr w14:paraId="42B84D01">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584" w:type="dxa"/>
            <w:vAlign w:val="center"/>
          </w:tcPr>
          <w:p w14:paraId="29F1164A">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lang w:bidi="fa-IR"/>
                <w14:textFill>
                  <w14:solidFill>
                    <w14:schemeClr w14:val="tx1"/>
                  </w14:solidFill>
                </w14:textFill>
              </w:rPr>
            </w:pPr>
            <w:r>
              <w:rPr>
                <w:rFonts w:hint="default" w:ascii="Arial" w:hAnsi="Arial" w:cs="Arial"/>
                <w:b/>
                <w:bCs/>
                <w:color w:val="000000" w:themeColor="text1"/>
                <w:rtl/>
                <w:lang w:bidi="fa-IR"/>
                <w14:textFill>
                  <w14:solidFill>
                    <w14:schemeClr w14:val="tx1"/>
                  </w14:solidFill>
                </w14:textFill>
              </w:rPr>
              <w:t>هایپوسمیا</w:t>
            </w:r>
          </w:p>
        </w:tc>
        <w:tc>
          <w:tcPr>
            <w:tcW w:w="1584" w:type="dxa"/>
            <w:vAlign w:val="center"/>
          </w:tcPr>
          <w:p w14:paraId="0BF6CC2D">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۰٫۲۹۷</w:t>
            </w:r>
          </w:p>
        </w:tc>
        <w:tc>
          <w:tcPr>
            <w:tcW w:w="1584" w:type="dxa"/>
            <w:vAlign w:val="center"/>
          </w:tcPr>
          <w:p w14:paraId="4FB19F28">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۲</w:t>
            </w:r>
          </w:p>
        </w:tc>
        <w:tc>
          <w:tcPr>
            <w:tcW w:w="1584" w:type="dxa"/>
            <w:vAlign w:val="center"/>
          </w:tcPr>
          <w:p w14:paraId="2F7B6609">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۰٫۰۹۰</w:t>
            </w:r>
          </w:p>
        </w:tc>
        <w:tc>
          <w:tcPr>
            <w:tcW w:w="1584" w:type="dxa"/>
            <w:vAlign w:val="center"/>
          </w:tcPr>
          <w:p w14:paraId="334C7D75">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۳٫۲۹۶</w:t>
            </w:r>
          </w:p>
        </w:tc>
        <w:tc>
          <w:tcPr>
            <w:tcW w:w="1584" w:type="dxa"/>
            <w:vAlign w:val="center"/>
          </w:tcPr>
          <w:p w14:paraId="7FA94C2F">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۰٫۰۳۹</w:t>
            </w:r>
          </w:p>
        </w:tc>
      </w:tr>
      <w:tr w14:paraId="68AEC863">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584" w:type="dxa"/>
            <w:shd w:val="clear" w:color="auto" w:fill="CCCCCC" w:themeFill="text1" w:themeFillTint="33"/>
            <w:vAlign w:val="center"/>
          </w:tcPr>
          <w:p w14:paraId="130971A0">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lang w:bidi="fa-IR"/>
                <w14:textFill>
                  <w14:solidFill>
                    <w14:schemeClr w14:val="tx1"/>
                  </w14:solidFill>
                </w14:textFill>
              </w:rPr>
            </w:pPr>
            <w:r>
              <w:rPr>
                <w:rFonts w:hint="default" w:ascii="Arial" w:hAnsi="Arial" w:cs="Arial"/>
                <w:b/>
                <w:bCs/>
                <w:color w:val="000000" w:themeColor="text1"/>
                <w:rtl/>
                <w:lang w:bidi="fa-IR"/>
                <w14:textFill>
                  <w14:solidFill>
                    <w14:schemeClr w14:val="tx1"/>
                  </w14:solidFill>
                </w14:textFill>
              </w:rPr>
              <w:t>خارش گلو</w:t>
            </w:r>
          </w:p>
        </w:tc>
        <w:tc>
          <w:tcPr>
            <w:tcW w:w="1584" w:type="dxa"/>
            <w:shd w:val="clear" w:color="auto" w:fill="CCCCCC" w:themeFill="text1" w:themeFillTint="33"/>
            <w:vAlign w:val="center"/>
          </w:tcPr>
          <w:p w14:paraId="6C9E45C9">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۰٫۰۰۲</w:t>
            </w:r>
          </w:p>
        </w:tc>
        <w:tc>
          <w:tcPr>
            <w:tcW w:w="1584" w:type="dxa"/>
            <w:shd w:val="clear" w:color="auto" w:fill="CCCCCC" w:themeFill="text1" w:themeFillTint="33"/>
            <w:vAlign w:val="center"/>
          </w:tcPr>
          <w:p w14:paraId="6775C3AF">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۲</w:t>
            </w:r>
          </w:p>
        </w:tc>
        <w:tc>
          <w:tcPr>
            <w:tcW w:w="1584" w:type="dxa"/>
            <w:shd w:val="clear" w:color="auto" w:fill="CCCCCC" w:themeFill="text1" w:themeFillTint="33"/>
            <w:vAlign w:val="center"/>
          </w:tcPr>
          <w:p w14:paraId="0645D646">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۰٫۰۰۵</w:t>
            </w:r>
          </w:p>
        </w:tc>
        <w:tc>
          <w:tcPr>
            <w:tcW w:w="1584" w:type="dxa"/>
            <w:shd w:val="clear" w:color="auto" w:fill="CCCCCC" w:themeFill="text1" w:themeFillTint="33"/>
            <w:vAlign w:val="center"/>
          </w:tcPr>
          <w:p w14:paraId="0D8E414F">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۰٫۴۰۵</w:t>
            </w:r>
          </w:p>
        </w:tc>
        <w:tc>
          <w:tcPr>
            <w:tcW w:w="1584" w:type="dxa"/>
            <w:shd w:val="clear" w:color="auto" w:fill="CCCCCC" w:themeFill="text1" w:themeFillTint="33"/>
            <w:vAlign w:val="center"/>
          </w:tcPr>
          <w:p w14:paraId="12F5AF71">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۰٫۶۶۸</w:t>
            </w:r>
          </w:p>
        </w:tc>
      </w:tr>
      <w:tr w14:paraId="5DB1F8C1">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584" w:type="dxa"/>
            <w:vAlign w:val="center"/>
          </w:tcPr>
          <w:p w14:paraId="179A9995">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lang w:bidi="fa-IR"/>
                <w14:textFill>
                  <w14:solidFill>
                    <w14:schemeClr w14:val="tx1"/>
                  </w14:solidFill>
                </w14:textFill>
              </w:rPr>
            </w:pPr>
            <w:r>
              <w:rPr>
                <w:rFonts w:hint="default" w:ascii="Arial" w:hAnsi="Arial" w:cs="Arial"/>
                <w:b/>
                <w:bCs/>
                <w:color w:val="000000" w:themeColor="text1"/>
                <w:rtl/>
                <w:lang w:bidi="fa-IR"/>
                <w14:textFill>
                  <w14:solidFill>
                    <w14:schemeClr w14:val="tx1"/>
                  </w14:solidFill>
                </w14:textFill>
              </w:rPr>
              <w:t>انسداد بینی</w:t>
            </w:r>
          </w:p>
        </w:tc>
        <w:tc>
          <w:tcPr>
            <w:tcW w:w="1584" w:type="dxa"/>
            <w:vAlign w:val="center"/>
          </w:tcPr>
          <w:p w14:paraId="20A077BA">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۰٫۰۰۷</w:t>
            </w:r>
          </w:p>
        </w:tc>
        <w:tc>
          <w:tcPr>
            <w:tcW w:w="1584" w:type="dxa"/>
            <w:vAlign w:val="center"/>
          </w:tcPr>
          <w:p w14:paraId="2C2C697B">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۲</w:t>
            </w:r>
          </w:p>
        </w:tc>
        <w:tc>
          <w:tcPr>
            <w:tcW w:w="1584" w:type="dxa"/>
            <w:vAlign w:val="center"/>
          </w:tcPr>
          <w:p w14:paraId="2FC1E32F">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۰٫۰۱۵</w:t>
            </w:r>
          </w:p>
        </w:tc>
        <w:tc>
          <w:tcPr>
            <w:tcW w:w="1584" w:type="dxa"/>
            <w:vAlign w:val="center"/>
          </w:tcPr>
          <w:p w14:paraId="4E51B255">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۰٫۴۵۷</w:t>
            </w:r>
          </w:p>
        </w:tc>
        <w:tc>
          <w:tcPr>
            <w:tcW w:w="1584" w:type="dxa"/>
            <w:vAlign w:val="center"/>
          </w:tcPr>
          <w:p w14:paraId="0A907566">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۰٫۶۳۴</w:t>
            </w:r>
          </w:p>
        </w:tc>
      </w:tr>
      <w:tr w14:paraId="4553D9E6">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584" w:type="dxa"/>
            <w:shd w:val="clear" w:color="auto" w:fill="CCCCCC" w:themeFill="text1" w:themeFillTint="33"/>
            <w:vAlign w:val="center"/>
          </w:tcPr>
          <w:p w14:paraId="1DF3FDF3">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lang w:bidi="fa-IR"/>
                <w14:textFill>
                  <w14:solidFill>
                    <w14:schemeClr w14:val="tx1"/>
                  </w14:solidFill>
                </w14:textFill>
              </w:rPr>
            </w:pPr>
            <w:r>
              <w:rPr>
                <w:rFonts w:hint="default" w:ascii="Arial" w:hAnsi="Arial" w:cs="Arial"/>
                <w:b/>
                <w:bCs/>
                <w:color w:val="000000" w:themeColor="text1"/>
                <w:lang w:bidi="fa-IR"/>
                <w14:textFill>
                  <w14:solidFill>
                    <w14:schemeClr w14:val="tx1"/>
                  </w14:solidFill>
                </w14:textFill>
              </w:rPr>
              <w:t>PND</w:t>
            </w:r>
          </w:p>
        </w:tc>
        <w:tc>
          <w:tcPr>
            <w:tcW w:w="1584" w:type="dxa"/>
            <w:shd w:val="clear" w:color="auto" w:fill="CCCCCC" w:themeFill="text1" w:themeFillTint="33"/>
            <w:vAlign w:val="center"/>
          </w:tcPr>
          <w:p w14:paraId="7B960650">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۰٫۰۰۰</w:t>
            </w:r>
          </w:p>
        </w:tc>
        <w:tc>
          <w:tcPr>
            <w:tcW w:w="1584" w:type="dxa"/>
            <w:shd w:val="clear" w:color="auto" w:fill="CCCCCC" w:themeFill="text1" w:themeFillTint="33"/>
            <w:vAlign w:val="center"/>
          </w:tcPr>
          <w:p w14:paraId="0EDD9385">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۲</w:t>
            </w:r>
          </w:p>
        </w:tc>
        <w:tc>
          <w:tcPr>
            <w:tcW w:w="1584" w:type="dxa"/>
            <w:shd w:val="clear" w:color="auto" w:fill="CCCCCC" w:themeFill="text1" w:themeFillTint="33"/>
            <w:vAlign w:val="center"/>
          </w:tcPr>
          <w:p w14:paraId="14F76058">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۰٫۰۳۵</w:t>
            </w:r>
          </w:p>
        </w:tc>
        <w:tc>
          <w:tcPr>
            <w:tcW w:w="1584" w:type="dxa"/>
            <w:shd w:val="clear" w:color="auto" w:fill="CCCCCC" w:themeFill="text1" w:themeFillTint="33"/>
            <w:vAlign w:val="center"/>
          </w:tcPr>
          <w:p w14:paraId="7AFBF1B6">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۰٫۰۰۶</w:t>
            </w:r>
          </w:p>
        </w:tc>
        <w:tc>
          <w:tcPr>
            <w:tcW w:w="1584" w:type="dxa"/>
            <w:shd w:val="clear" w:color="auto" w:fill="CCCCCC" w:themeFill="text1" w:themeFillTint="33"/>
            <w:vAlign w:val="center"/>
          </w:tcPr>
          <w:p w14:paraId="4056F720">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۰٫۹۹۴</w:t>
            </w:r>
          </w:p>
        </w:tc>
      </w:tr>
      <w:tr w14:paraId="6C0414E3">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584" w:type="dxa"/>
            <w:vAlign w:val="center"/>
          </w:tcPr>
          <w:p w14:paraId="30D36778">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lang w:bidi="fa-IR"/>
                <w14:textFill>
                  <w14:solidFill>
                    <w14:schemeClr w14:val="tx1"/>
                  </w14:solidFill>
                </w14:textFill>
              </w:rPr>
            </w:pPr>
            <w:r>
              <w:rPr>
                <w:rFonts w:hint="default" w:ascii="Arial" w:hAnsi="Arial" w:cs="Arial"/>
                <w:b/>
                <w:bCs/>
                <w:color w:val="000000" w:themeColor="text1"/>
                <w:rtl/>
                <w:lang w:bidi="fa-IR"/>
                <w14:textFill>
                  <w14:solidFill>
                    <w14:schemeClr w14:val="tx1"/>
                  </w14:solidFill>
                </w14:textFill>
              </w:rPr>
              <w:t>آبریزش بینی</w:t>
            </w:r>
          </w:p>
        </w:tc>
        <w:tc>
          <w:tcPr>
            <w:tcW w:w="1584" w:type="dxa"/>
            <w:vAlign w:val="center"/>
          </w:tcPr>
          <w:p w14:paraId="70E5D10E">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۰٫۰۴۷</w:t>
            </w:r>
          </w:p>
        </w:tc>
        <w:tc>
          <w:tcPr>
            <w:tcW w:w="1584" w:type="dxa"/>
            <w:vAlign w:val="center"/>
          </w:tcPr>
          <w:p w14:paraId="3095B0E7">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۲</w:t>
            </w:r>
          </w:p>
        </w:tc>
        <w:tc>
          <w:tcPr>
            <w:tcW w:w="1584" w:type="dxa"/>
            <w:vAlign w:val="center"/>
          </w:tcPr>
          <w:p w14:paraId="52402149">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۰٫۰۴۹</w:t>
            </w:r>
          </w:p>
        </w:tc>
        <w:tc>
          <w:tcPr>
            <w:tcW w:w="1584" w:type="dxa"/>
            <w:vAlign w:val="center"/>
          </w:tcPr>
          <w:p w14:paraId="1BAEE07C">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۰٫۹۶۶</w:t>
            </w:r>
          </w:p>
        </w:tc>
        <w:tc>
          <w:tcPr>
            <w:tcW w:w="1584" w:type="dxa"/>
            <w:vAlign w:val="center"/>
          </w:tcPr>
          <w:p w14:paraId="2A00EE0A">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۰٫۳۸۲</w:t>
            </w:r>
          </w:p>
        </w:tc>
      </w:tr>
      <w:tr w14:paraId="5661D600">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584" w:type="dxa"/>
            <w:shd w:val="clear" w:color="auto" w:fill="CCCCCC" w:themeFill="text1" w:themeFillTint="33"/>
            <w:vAlign w:val="center"/>
          </w:tcPr>
          <w:p w14:paraId="701873FF">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lang w:bidi="fa-IR"/>
                <w14:textFill>
                  <w14:solidFill>
                    <w14:schemeClr w14:val="tx1"/>
                  </w14:solidFill>
                </w14:textFill>
              </w:rPr>
            </w:pPr>
            <w:r>
              <w:rPr>
                <w:rFonts w:hint="default" w:ascii="Arial" w:hAnsi="Arial" w:cs="Arial"/>
                <w:b/>
                <w:bCs/>
                <w:color w:val="000000" w:themeColor="text1"/>
                <w:rtl/>
                <w:lang w:bidi="fa-IR"/>
                <w14:textFill>
                  <w14:solidFill>
                    <w14:schemeClr w14:val="tx1"/>
                  </w14:solidFill>
                </w14:textFill>
              </w:rPr>
              <w:t>گلودرد</w:t>
            </w:r>
          </w:p>
        </w:tc>
        <w:tc>
          <w:tcPr>
            <w:tcW w:w="1584" w:type="dxa"/>
            <w:shd w:val="clear" w:color="auto" w:fill="CCCCCC" w:themeFill="text1" w:themeFillTint="33"/>
            <w:vAlign w:val="center"/>
          </w:tcPr>
          <w:p w14:paraId="0680E8F8">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۰٫۰۲۹</w:t>
            </w:r>
          </w:p>
        </w:tc>
        <w:tc>
          <w:tcPr>
            <w:tcW w:w="1584" w:type="dxa"/>
            <w:shd w:val="clear" w:color="auto" w:fill="CCCCCC" w:themeFill="text1" w:themeFillTint="33"/>
            <w:vAlign w:val="center"/>
          </w:tcPr>
          <w:p w14:paraId="70310337">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۲</w:t>
            </w:r>
          </w:p>
        </w:tc>
        <w:tc>
          <w:tcPr>
            <w:tcW w:w="1584" w:type="dxa"/>
            <w:shd w:val="clear" w:color="auto" w:fill="CCCCCC" w:themeFill="text1" w:themeFillTint="33"/>
            <w:vAlign w:val="center"/>
          </w:tcPr>
          <w:p w14:paraId="1A048378">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۰٫۰۷۱</w:t>
            </w:r>
          </w:p>
        </w:tc>
        <w:tc>
          <w:tcPr>
            <w:tcW w:w="1584" w:type="dxa"/>
            <w:shd w:val="clear" w:color="auto" w:fill="CCCCCC" w:themeFill="text1" w:themeFillTint="33"/>
            <w:vAlign w:val="center"/>
          </w:tcPr>
          <w:p w14:paraId="58AB1EAF">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۰٫۴۰۰</w:t>
            </w:r>
          </w:p>
        </w:tc>
        <w:tc>
          <w:tcPr>
            <w:tcW w:w="1584" w:type="dxa"/>
            <w:shd w:val="clear" w:color="auto" w:fill="CCCCCC" w:themeFill="text1" w:themeFillTint="33"/>
            <w:vAlign w:val="center"/>
          </w:tcPr>
          <w:p w14:paraId="787649AF">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۰٫۶۷۱</w:t>
            </w:r>
          </w:p>
        </w:tc>
      </w:tr>
      <w:tr w14:paraId="773A9AB5">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584" w:type="dxa"/>
            <w:vAlign w:val="center"/>
          </w:tcPr>
          <w:p w14:paraId="274DDFCF">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lang w:bidi="fa-IR"/>
                <w14:textFill>
                  <w14:solidFill>
                    <w14:schemeClr w14:val="tx1"/>
                  </w14:solidFill>
                </w14:textFill>
              </w:rPr>
            </w:pPr>
            <w:r>
              <w:rPr>
                <w:rFonts w:hint="default" w:ascii="Arial" w:hAnsi="Arial" w:cs="Arial"/>
                <w:b/>
                <w:bCs/>
                <w:color w:val="000000" w:themeColor="text1"/>
                <w:rtl/>
                <w:lang w:bidi="fa-IR"/>
                <w14:textFill>
                  <w14:solidFill>
                    <w14:schemeClr w14:val="tx1"/>
                  </w14:solidFill>
                </w14:textFill>
              </w:rPr>
              <w:t>وزوز گوش</w:t>
            </w:r>
          </w:p>
        </w:tc>
        <w:tc>
          <w:tcPr>
            <w:tcW w:w="1584" w:type="dxa"/>
            <w:vAlign w:val="center"/>
          </w:tcPr>
          <w:p w14:paraId="2876A478">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۰٫۱۹۳</w:t>
            </w:r>
          </w:p>
        </w:tc>
        <w:tc>
          <w:tcPr>
            <w:tcW w:w="1584" w:type="dxa"/>
            <w:vAlign w:val="center"/>
          </w:tcPr>
          <w:p w14:paraId="2729DF2A">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۲</w:t>
            </w:r>
          </w:p>
        </w:tc>
        <w:tc>
          <w:tcPr>
            <w:tcW w:w="1584" w:type="dxa"/>
            <w:vAlign w:val="center"/>
          </w:tcPr>
          <w:p w14:paraId="6FC439C5">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۰٫۰۲۸</w:t>
            </w:r>
          </w:p>
        </w:tc>
        <w:tc>
          <w:tcPr>
            <w:tcW w:w="1584" w:type="dxa"/>
            <w:vAlign w:val="center"/>
          </w:tcPr>
          <w:p w14:paraId="45B3A6C6">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۶٫۸۷۳</w:t>
            </w:r>
          </w:p>
        </w:tc>
        <w:tc>
          <w:tcPr>
            <w:tcW w:w="1584" w:type="dxa"/>
            <w:vAlign w:val="center"/>
          </w:tcPr>
          <w:p w14:paraId="78323443">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۰٫۰۰۱</w:t>
            </w:r>
          </w:p>
        </w:tc>
      </w:tr>
      <w:tr w14:paraId="55BD4193">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584" w:type="dxa"/>
            <w:shd w:val="clear" w:color="auto" w:fill="CCCCCC" w:themeFill="text1" w:themeFillTint="33"/>
            <w:vAlign w:val="center"/>
          </w:tcPr>
          <w:p w14:paraId="05D7D10E">
            <w:pPr>
              <w:keepNext w:val="0"/>
              <w:keepLines w:val="0"/>
              <w:widowControl/>
              <w:suppressLineNumbers w:val="0"/>
              <w:bidi/>
              <w:spacing w:before="0" w:beforeAutospacing="0" w:after="0" w:afterAutospacing="0" w:line="360" w:lineRule="auto"/>
              <w:ind w:left="0" w:right="0"/>
              <w:jc w:val="center"/>
              <w:rPr>
                <w:rFonts w:hint="default" w:ascii="Arial" w:hAnsi="Arial" w:cs="Arial"/>
                <w:b/>
                <w:bCs/>
                <w:color w:val="000000" w:themeColor="text1"/>
                <w:lang w:bidi="fa-IR"/>
                <w14:textFill>
                  <w14:solidFill>
                    <w14:schemeClr w14:val="tx1"/>
                  </w14:solidFill>
                </w14:textFill>
              </w:rPr>
            </w:pPr>
            <w:r>
              <w:rPr>
                <w:rFonts w:hint="default" w:ascii="Arial" w:hAnsi="Arial" w:cs="Arial"/>
                <w:b/>
                <w:bCs/>
                <w:color w:val="000000" w:themeColor="text1"/>
                <w:rtl/>
                <w:lang w:bidi="fa-IR"/>
                <w14:textFill>
                  <w14:solidFill>
                    <w14:schemeClr w14:val="tx1"/>
                  </w14:solidFill>
                </w14:textFill>
              </w:rPr>
              <w:t>عطسه</w:t>
            </w:r>
          </w:p>
        </w:tc>
        <w:tc>
          <w:tcPr>
            <w:tcW w:w="1584" w:type="dxa"/>
            <w:shd w:val="clear" w:color="auto" w:fill="CCCCCC" w:themeFill="text1" w:themeFillTint="33"/>
            <w:vAlign w:val="center"/>
          </w:tcPr>
          <w:p w14:paraId="1652AA78">
            <w:pPr>
              <w:keepNext w:val="0"/>
              <w:keepLines w:val="0"/>
              <w:widowControl/>
              <w:suppressLineNumbers w:val="0"/>
              <w:bidi/>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۰٫۰۱۱</w:t>
            </w:r>
          </w:p>
        </w:tc>
        <w:tc>
          <w:tcPr>
            <w:tcW w:w="1584" w:type="dxa"/>
            <w:shd w:val="clear" w:color="auto" w:fill="CCCCCC" w:themeFill="text1" w:themeFillTint="33"/>
            <w:vAlign w:val="center"/>
          </w:tcPr>
          <w:p w14:paraId="292DC3E5">
            <w:pPr>
              <w:keepNext w:val="0"/>
              <w:keepLines w:val="0"/>
              <w:widowControl/>
              <w:suppressLineNumbers w:val="0"/>
              <w:bidi/>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۲</w:t>
            </w:r>
          </w:p>
        </w:tc>
        <w:tc>
          <w:tcPr>
            <w:tcW w:w="1584" w:type="dxa"/>
            <w:shd w:val="clear" w:color="auto" w:fill="CCCCCC" w:themeFill="text1" w:themeFillTint="33"/>
            <w:vAlign w:val="center"/>
          </w:tcPr>
          <w:p w14:paraId="51561E8A">
            <w:pPr>
              <w:keepNext w:val="0"/>
              <w:keepLines w:val="0"/>
              <w:widowControl/>
              <w:suppressLineNumbers w:val="0"/>
              <w:bidi/>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۰٫۰۱۰</w:t>
            </w:r>
          </w:p>
        </w:tc>
        <w:tc>
          <w:tcPr>
            <w:tcW w:w="1584" w:type="dxa"/>
            <w:shd w:val="clear" w:color="auto" w:fill="CCCCCC" w:themeFill="text1" w:themeFillTint="33"/>
            <w:vAlign w:val="center"/>
          </w:tcPr>
          <w:p w14:paraId="6670167C">
            <w:pPr>
              <w:keepNext w:val="0"/>
              <w:keepLines w:val="0"/>
              <w:widowControl/>
              <w:suppressLineNumbers w:val="0"/>
              <w:bidi/>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۱٫۰۹۴</w:t>
            </w:r>
          </w:p>
        </w:tc>
        <w:tc>
          <w:tcPr>
            <w:tcW w:w="1584" w:type="dxa"/>
            <w:shd w:val="clear" w:color="auto" w:fill="CCCCCC" w:themeFill="text1" w:themeFillTint="33"/>
            <w:vAlign w:val="center"/>
          </w:tcPr>
          <w:p w14:paraId="0DAD5E35">
            <w:pPr>
              <w:keepNext w:val="0"/>
              <w:keepLines w:val="0"/>
              <w:widowControl/>
              <w:suppressLineNumbers w:val="0"/>
              <w:bidi/>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۰٫۳۳۷</w:t>
            </w:r>
          </w:p>
        </w:tc>
      </w:tr>
    </w:tbl>
    <w:p w14:paraId="2D3B0F45">
      <w:pPr>
        <w:bidi/>
        <w:spacing w:line="360" w:lineRule="auto"/>
        <w:jc w:val="both"/>
        <w:rPr>
          <w:rFonts w:hint="default" w:ascii="Arial" w:hAnsi="Arial" w:cs="Arial"/>
          <w:sz w:val="28"/>
          <w:szCs w:val="28"/>
          <w:rtl/>
          <w:lang w:bidi="fa-IR"/>
        </w:rPr>
      </w:pPr>
    </w:p>
    <w:p w14:paraId="43CE8F15">
      <w:pPr>
        <w:bidi/>
        <w:spacing w:line="360" w:lineRule="auto"/>
        <w:jc w:val="both"/>
        <w:rPr>
          <w:rFonts w:hint="default" w:ascii="Arial" w:hAnsi="Arial" w:cs="Arial"/>
          <w:sz w:val="28"/>
          <w:szCs w:val="28"/>
          <w:rtl/>
          <w:lang w:bidi="fa-IR"/>
        </w:rPr>
      </w:pPr>
      <w:r>
        <w:rPr>
          <w:rFonts w:hint="default" w:ascii="Arial" w:hAnsi="Arial" w:cs="Arial"/>
          <w:sz w:val="28"/>
          <w:szCs w:val="28"/>
          <w:rtl/>
          <w:lang w:bidi="fa-IR"/>
        </w:rPr>
        <w:t xml:space="preserve"> بر اساس بررسی های ما، احتقان بینی، هیپوسمیا و خارش گلو ارتباط معناداری با سن داشتند (</w:t>
      </w:r>
      <w:r>
        <w:rPr>
          <w:rFonts w:hint="default" w:ascii="Arial" w:hAnsi="Arial" w:cs="Arial"/>
          <w:sz w:val="28"/>
          <w:szCs w:val="28"/>
          <w:lang w:bidi="fa-IR"/>
        </w:rPr>
        <w:t>P-value: 0.024, 0.00, 0.00</w:t>
      </w:r>
      <w:r>
        <w:rPr>
          <w:rFonts w:hint="default" w:ascii="Arial" w:hAnsi="Arial" w:cs="Arial"/>
          <w:sz w:val="28"/>
          <w:szCs w:val="28"/>
          <w:rtl/>
          <w:lang w:bidi="fa-IR"/>
        </w:rPr>
        <w:t>، به ترتیب)، اما سایر علائم ارتباطی با سن بیماران نداشت (</w:t>
      </w:r>
      <w:r>
        <w:rPr>
          <w:rFonts w:hint="default" w:ascii="Arial" w:hAnsi="Arial" w:cs="Arial"/>
          <w:sz w:val="28"/>
          <w:szCs w:val="28"/>
          <w:lang w:bidi="fa-IR"/>
        </w:rPr>
        <w:t>All P-values &gt; 0.05</w:t>
      </w:r>
      <w:r>
        <w:rPr>
          <w:rFonts w:hint="default" w:ascii="Arial" w:hAnsi="Arial" w:cs="Arial"/>
          <w:sz w:val="28"/>
          <w:szCs w:val="28"/>
          <w:rtl/>
          <w:lang w:bidi="fa-IR"/>
        </w:rPr>
        <w:t>). در مورد جنسیت نیز نتایج کاملا مشابه سن بود و در واقع احتقان بینی، هیپوسمیا و خارش گلو ارتباط معناداری با جنسیت داشتند (</w:t>
      </w:r>
      <w:r>
        <w:rPr>
          <w:rFonts w:hint="default" w:ascii="Arial" w:hAnsi="Arial" w:cs="Arial"/>
          <w:sz w:val="28"/>
          <w:szCs w:val="28"/>
          <w:lang w:bidi="fa-IR"/>
        </w:rPr>
        <w:t>P-values &lt; 0.05</w:t>
      </w:r>
      <w:r>
        <w:rPr>
          <w:rFonts w:hint="default" w:ascii="Arial" w:hAnsi="Arial" w:cs="Arial"/>
          <w:sz w:val="28"/>
          <w:szCs w:val="28"/>
          <w:rtl/>
          <w:lang w:bidi="fa-IR"/>
        </w:rPr>
        <w:t xml:space="preserve">). </w:t>
      </w:r>
    </w:p>
    <w:p w14:paraId="655B2327">
      <w:pPr>
        <w:bidi/>
        <w:spacing w:line="360" w:lineRule="auto"/>
        <w:jc w:val="both"/>
        <w:rPr>
          <w:rFonts w:hint="default" w:ascii="Arial" w:hAnsi="Arial" w:cs="Arial"/>
          <w:sz w:val="28"/>
          <w:szCs w:val="28"/>
          <w:rtl/>
          <w:lang w:bidi="fa-IR"/>
        </w:rPr>
      </w:pPr>
      <w:r>
        <w:rPr>
          <w:rFonts w:hint="default" w:ascii="Arial" w:hAnsi="Arial" w:cs="Arial"/>
          <w:sz w:val="28"/>
          <w:szCs w:val="28"/>
          <w:rtl/>
          <w:lang w:bidi="fa-IR"/>
        </w:rPr>
        <w:t>همچنین ما به بررسی ارتباط اطلاعات دموگرافیک با شدت بیماری پرداختیم و دیده شد که سن با شدت بیماری ارتباط معنی داری داشت (</w:t>
      </w:r>
      <w:r>
        <w:rPr>
          <w:rFonts w:hint="default" w:ascii="Arial" w:hAnsi="Arial" w:cs="Arial"/>
          <w:sz w:val="28"/>
          <w:szCs w:val="28"/>
          <w:lang w:bidi="fa-IR"/>
        </w:rPr>
        <w:t>P-value: 0.00</w:t>
      </w:r>
      <w:r>
        <w:rPr>
          <w:rFonts w:hint="default" w:ascii="Arial" w:hAnsi="Arial" w:cs="Arial"/>
          <w:sz w:val="28"/>
          <w:szCs w:val="28"/>
          <w:rtl/>
          <w:lang w:bidi="fa-IR"/>
        </w:rPr>
        <w:t>) اما جنس ارتباط آماری معنی داری با شدت بیماری کووید-19 نداشت (</w:t>
      </w:r>
      <w:r>
        <w:rPr>
          <w:rFonts w:hint="default" w:ascii="Arial" w:hAnsi="Arial" w:cs="Arial"/>
          <w:sz w:val="28"/>
          <w:szCs w:val="28"/>
          <w:lang w:bidi="fa-IR"/>
        </w:rPr>
        <w:t>P-value: 0.82</w:t>
      </w:r>
      <w:r>
        <w:rPr>
          <w:rFonts w:hint="default" w:ascii="Arial" w:hAnsi="Arial" w:cs="Arial"/>
          <w:sz w:val="28"/>
          <w:szCs w:val="28"/>
          <w:rtl/>
          <w:lang w:bidi="fa-IR"/>
        </w:rPr>
        <w:t xml:space="preserve">). </w:t>
      </w:r>
    </w:p>
    <w:p w14:paraId="25433E2E">
      <w:pPr>
        <w:bidi/>
        <w:spacing w:line="360" w:lineRule="auto"/>
        <w:jc w:val="both"/>
        <w:rPr>
          <w:rFonts w:hint="default" w:ascii="Arial" w:hAnsi="Arial" w:cs="Arial"/>
          <w:sz w:val="28"/>
          <w:szCs w:val="28"/>
          <w:rtl/>
          <w:lang w:bidi="fa-IR"/>
        </w:rPr>
      </w:pPr>
    </w:p>
    <w:p w14:paraId="66410FDC">
      <w:pPr>
        <w:bidi/>
        <w:spacing w:line="360" w:lineRule="auto"/>
        <w:jc w:val="both"/>
        <w:rPr>
          <w:rFonts w:hint="default" w:ascii="Arial" w:hAnsi="Arial" w:cs="Arial"/>
          <w:sz w:val="28"/>
          <w:szCs w:val="28"/>
          <w:rtl/>
          <w:lang w:bidi="fa-IR"/>
        </w:rPr>
      </w:pPr>
      <w:r>
        <w:rPr>
          <w:rFonts w:hint="default" w:ascii="Arial" w:hAnsi="Arial" w:cs="Arial"/>
          <w:sz w:val="28"/>
          <w:szCs w:val="28"/>
          <w:rtl/>
          <w:lang w:bidi="fa-IR"/>
        </w:rPr>
        <w:t>ما به بررسی ارتباط بین مدت زمان بستری بودن با علائم گوش و حلق و بینی در بیماران کووید 19 بر اساس رگرسیون لجستیک پرداختیم و مشاهده شد که هیچ ارتباط معناداری بین مدت زمان بستری با علائم گوش و حلق و بینی در بیماران مبتلا به کووید 19 وجود نداشت. اطلاعات مرتبط با این یافته ها در جدول 3 گزارش شده است.</w:t>
      </w:r>
    </w:p>
    <w:p w14:paraId="0CFC52F8">
      <w:pPr>
        <w:bidi/>
        <w:spacing w:line="360" w:lineRule="auto"/>
        <w:jc w:val="both"/>
        <w:rPr>
          <w:rFonts w:hint="default" w:ascii="Arial" w:hAnsi="Arial" w:cs="Arial"/>
          <w:sz w:val="28"/>
          <w:szCs w:val="28"/>
          <w:rtl/>
          <w:lang w:bidi="fa-IR"/>
        </w:rPr>
      </w:pPr>
    </w:p>
    <w:p w14:paraId="565427E0">
      <w:pPr>
        <w:bidi/>
        <w:spacing w:line="360" w:lineRule="auto"/>
        <w:jc w:val="both"/>
        <w:rPr>
          <w:rFonts w:hint="default" w:ascii="Arial" w:hAnsi="Arial" w:cs="Arial"/>
          <w:sz w:val="28"/>
          <w:szCs w:val="28"/>
          <w:rtl/>
          <w:lang w:bidi="fa-IR"/>
        </w:rPr>
      </w:pPr>
      <w:r>
        <w:rPr>
          <w:rFonts w:hint="default" w:ascii="Arial" w:hAnsi="Arial" w:cs="Arial"/>
          <w:sz w:val="28"/>
          <w:szCs w:val="28"/>
          <w:rtl/>
          <w:lang w:bidi="fa-IR"/>
        </w:rPr>
        <w:t>جدول3.  بررسی ارتباط بین مدت زمان بستری بودن با علائم گوش و حلق و بینی در بیماران کووید 19 بر اساس رگرسیون لجستیک</w:t>
      </w:r>
    </w:p>
    <w:tbl>
      <w:tblPr>
        <w:tblStyle w:val="14"/>
        <w:bidiVisual/>
        <w:tblW w:w="9933" w:type="dxa"/>
        <w:jc w:val="right"/>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08"/>
        <w:gridCol w:w="1522"/>
        <w:gridCol w:w="1522"/>
        <w:gridCol w:w="1522"/>
        <w:gridCol w:w="1446"/>
        <w:gridCol w:w="1513"/>
      </w:tblGrid>
      <w:tr w14:paraId="6D71FECD">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right"/>
        </w:trPr>
        <w:tc>
          <w:tcPr>
            <w:tcW w:w="2408" w:type="dxa"/>
            <w:tcBorders>
              <w:bottom w:val="single" w:color="000000" w:themeColor="text1" w:sz="4" w:space="0"/>
              <w:insideH w:val="single" w:sz="4" w:space="0"/>
            </w:tcBorders>
            <w:vAlign w:val="center"/>
          </w:tcPr>
          <w:p w14:paraId="075C2FA6">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lang w:bidi="fa-IR"/>
                <w14:textFill>
                  <w14:solidFill>
                    <w14:schemeClr w14:val="tx1"/>
                  </w14:solidFill>
                </w14:textFill>
              </w:rPr>
            </w:pPr>
            <w:r>
              <w:rPr>
                <w:rFonts w:hint="default" w:ascii="Arial" w:hAnsi="Arial" w:cs="Arial"/>
                <w:b/>
                <w:bCs/>
                <w:color w:val="000000" w:themeColor="text1"/>
                <w:rtl/>
                <w:lang w:bidi="fa-IR"/>
                <w14:textFill>
                  <w14:solidFill>
                    <w14:schemeClr w14:val="tx1"/>
                  </w14:solidFill>
                </w14:textFill>
              </w:rPr>
              <w:t>متغیر</w:t>
            </w:r>
          </w:p>
        </w:tc>
        <w:tc>
          <w:tcPr>
            <w:tcW w:w="1522" w:type="dxa"/>
            <w:tcBorders>
              <w:bottom w:val="single" w:color="000000" w:themeColor="text1" w:sz="4" w:space="0"/>
              <w:insideH w:val="single" w:sz="4" w:space="0"/>
            </w:tcBorders>
            <w:vAlign w:val="center"/>
          </w:tcPr>
          <w:p w14:paraId="7A778BFB">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lang w:bidi="fa-IR"/>
                <w14:textFill>
                  <w14:solidFill>
                    <w14:schemeClr w14:val="tx1"/>
                  </w14:solidFill>
                </w14:textFill>
              </w:rPr>
            </w:pPr>
            <w:r>
              <w:rPr>
                <w:rFonts w:hint="default" w:ascii="Arial" w:hAnsi="Arial" w:cs="Arial"/>
                <w:b/>
                <w:bCs/>
                <w:color w:val="000000" w:themeColor="text1"/>
                <w:rtl/>
                <w:lang w:bidi="fa-IR"/>
                <w14:textFill>
                  <w14:solidFill>
                    <w14:schemeClr w14:val="tx1"/>
                  </w14:solidFill>
                </w14:textFill>
              </w:rPr>
              <w:t>ضریب غیر استاندارد</w:t>
            </w:r>
            <w:r>
              <w:rPr>
                <w:rFonts w:hint="default" w:ascii="Arial" w:hAnsi="Arial" w:cs="Arial"/>
                <w:b/>
                <w:bCs/>
                <w:color w:val="000000" w:themeColor="text1"/>
                <w:lang w:bidi="fa-IR"/>
                <w14:textFill>
                  <w14:solidFill>
                    <w14:schemeClr w14:val="tx1"/>
                  </w14:solidFill>
                </w14:textFill>
              </w:rPr>
              <w:t xml:space="preserve"> (B)</w:t>
            </w:r>
          </w:p>
        </w:tc>
        <w:tc>
          <w:tcPr>
            <w:tcW w:w="1522" w:type="dxa"/>
            <w:tcBorders>
              <w:bottom w:val="single" w:color="000000" w:themeColor="text1" w:sz="4" w:space="0"/>
              <w:insideH w:val="single" w:sz="4" w:space="0"/>
            </w:tcBorders>
            <w:vAlign w:val="center"/>
          </w:tcPr>
          <w:p w14:paraId="0F0C27A4">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lang w:bidi="fa-IR"/>
                <w14:textFill>
                  <w14:solidFill>
                    <w14:schemeClr w14:val="tx1"/>
                  </w14:solidFill>
                </w14:textFill>
              </w:rPr>
            </w:pPr>
            <w:r>
              <w:rPr>
                <w:rFonts w:hint="default" w:ascii="Arial" w:hAnsi="Arial" w:cs="Arial"/>
                <w:b/>
                <w:bCs/>
                <w:color w:val="000000" w:themeColor="text1"/>
                <w:rtl/>
                <w:lang w:bidi="fa-IR"/>
                <w14:textFill>
                  <w14:solidFill>
                    <w14:schemeClr w14:val="tx1"/>
                  </w14:solidFill>
                </w14:textFill>
              </w:rPr>
              <w:t>خطای استاندارد</w:t>
            </w:r>
            <w:r>
              <w:rPr>
                <w:rFonts w:hint="default" w:ascii="Arial" w:hAnsi="Arial" w:cs="Arial"/>
                <w:b/>
                <w:bCs/>
                <w:color w:val="000000" w:themeColor="text1"/>
                <w:lang w:bidi="fa-IR"/>
                <w14:textFill>
                  <w14:solidFill>
                    <w14:schemeClr w14:val="tx1"/>
                  </w14:solidFill>
                </w14:textFill>
              </w:rPr>
              <w:t xml:space="preserve"> (Std. Error)</w:t>
            </w:r>
          </w:p>
        </w:tc>
        <w:tc>
          <w:tcPr>
            <w:tcW w:w="1522" w:type="dxa"/>
            <w:tcBorders>
              <w:bottom w:val="single" w:color="000000" w:themeColor="text1" w:sz="4" w:space="0"/>
              <w:insideH w:val="single" w:sz="4" w:space="0"/>
            </w:tcBorders>
            <w:vAlign w:val="center"/>
          </w:tcPr>
          <w:p w14:paraId="34D4AA82">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lang w:bidi="fa-IR"/>
                <w14:textFill>
                  <w14:solidFill>
                    <w14:schemeClr w14:val="tx1"/>
                  </w14:solidFill>
                </w14:textFill>
              </w:rPr>
            </w:pPr>
            <w:r>
              <w:rPr>
                <w:rFonts w:hint="default" w:ascii="Arial" w:hAnsi="Arial" w:cs="Arial"/>
                <w:b/>
                <w:bCs/>
                <w:color w:val="000000" w:themeColor="text1"/>
                <w:rtl/>
                <w:lang w:bidi="fa-IR"/>
                <w14:textFill>
                  <w14:solidFill>
                    <w14:schemeClr w14:val="tx1"/>
                  </w14:solidFill>
                </w14:textFill>
              </w:rPr>
              <w:t>ضریب استاندارد شده</w:t>
            </w:r>
            <w:r>
              <w:rPr>
                <w:rFonts w:hint="default" w:ascii="Arial" w:hAnsi="Arial" w:cs="Arial"/>
                <w:b/>
                <w:bCs/>
                <w:color w:val="000000" w:themeColor="text1"/>
                <w:lang w:bidi="fa-IR"/>
                <w14:textFill>
                  <w14:solidFill>
                    <w14:schemeClr w14:val="tx1"/>
                  </w14:solidFill>
                </w14:textFill>
              </w:rPr>
              <w:t xml:space="preserve"> (Beta)</w:t>
            </w:r>
          </w:p>
        </w:tc>
        <w:tc>
          <w:tcPr>
            <w:tcW w:w="1446" w:type="dxa"/>
            <w:tcBorders>
              <w:bottom w:val="single" w:color="000000" w:themeColor="text1" w:sz="4" w:space="0"/>
              <w:insideH w:val="single" w:sz="4" w:space="0"/>
            </w:tcBorders>
            <w:vAlign w:val="center"/>
          </w:tcPr>
          <w:p w14:paraId="770C8018">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lang w:bidi="fa-IR"/>
                <w14:textFill>
                  <w14:solidFill>
                    <w14:schemeClr w14:val="tx1"/>
                  </w14:solidFill>
                </w14:textFill>
              </w:rPr>
            </w:pPr>
            <w:r>
              <w:rPr>
                <w:rFonts w:hint="default" w:ascii="Arial" w:hAnsi="Arial" w:cs="Arial"/>
                <w:b/>
                <w:bCs/>
                <w:color w:val="000000" w:themeColor="text1"/>
                <w:lang w:bidi="fa-IR"/>
                <w14:textFill>
                  <w14:solidFill>
                    <w14:schemeClr w14:val="tx1"/>
                  </w14:solidFill>
                </w14:textFill>
              </w:rPr>
              <w:t>t</w:t>
            </w:r>
          </w:p>
        </w:tc>
        <w:tc>
          <w:tcPr>
            <w:tcW w:w="1513" w:type="dxa"/>
            <w:tcBorders>
              <w:bottom w:val="single" w:color="000000" w:themeColor="text1" w:sz="4" w:space="0"/>
              <w:insideH w:val="single" w:sz="4" w:space="0"/>
            </w:tcBorders>
            <w:vAlign w:val="center"/>
          </w:tcPr>
          <w:p w14:paraId="44FE06EF">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lang w:bidi="fa-IR"/>
                <w14:textFill>
                  <w14:solidFill>
                    <w14:schemeClr w14:val="tx1"/>
                  </w14:solidFill>
                </w14:textFill>
              </w:rPr>
            </w:pPr>
            <w:r>
              <w:rPr>
                <w:rFonts w:hint="default" w:ascii="Arial" w:hAnsi="Arial" w:cs="Arial"/>
                <w:b/>
                <w:bCs/>
                <w:color w:val="000000" w:themeColor="text1"/>
                <w:rtl/>
                <w:lang w:bidi="fa-IR"/>
                <w14:textFill>
                  <w14:solidFill>
                    <w14:schemeClr w14:val="tx1"/>
                  </w14:solidFill>
                </w14:textFill>
              </w:rPr>
              <w:t>سطح معناداری</w:t>
            </w:r>
            <w:r>
              <w:rPr>
                <w:rFonts w:hint="default" w:ascii="Arial" w:hAnsi="Arial" w:cs="Arial"/>
                <w:b/>
                <w:bCs/>
                <w:color w:val="000000" w:themeColor="text1"/>
                <w:lang w:bidi="fa-IR"/>
                <w14:textFill>
                  <w14:solidFill>
                    <w14:schemeClr w14:val="tx1"/>
                  </w14:solidFill>
                </w14:textFill>
              </w:rPr>
              <w:t xml:space="preserve"> (Sig.)</w:t>
            </w:r>
          </w:p>
        </w:tc>
      </w:tr>
      <w:tr w14:paraId="7F5B406D">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right"/>
        </w:trPr>
        <w:tc>
          <w:tcPr>
            <w:tcW w:w="2408" w:type="dxa"/>
            <w:shd w:val="clear" w:color="auto" w:fill="CCCCCC" w:themeFill="text1" w:themeFillTint="33"/>
            <w:vAlign w:val="center"/>
          </w:tcPr>
          <w:p w14:paraId="53283C9B">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lang w:bidi="fa-IR"/>
                <w14:textFill>
                  <w14:solidFill>
                    <w14:schemeClr w14:val="tx1"/>
                  </w14:solidFill>
                </w14:textFill>
              </w:rPr>
            </w:pPr>
            <w:r>
              <w:rPr>
                <w:rFonts w:hint="default" w:ascii="Arial" w:hAnsi="Arial" w:cs="Arial"/>
                <w:b/>
                <w:bCs/>
                <w:color w:val="000000" w:themeColor="text1"/>
                <w:rtl/>
                <w:lang w:bidi="fa-IR"/>
                <w14:textFill>
                  <w14:solidFill>
                    <w14:schemeClr w14:val="tx1"/>
                  </w14:solidFill>
                </w14:textFill>
              </w:rPr>
              <w:t>ثابت</w:t>
            </w:r>
            <w:r>
              <w:rPr>
                <w:rFonts w:hint="default" w:ascii="Arial" w:hAnsi="Arial" w:cs="Arial"/>
                <w:b/>
                <w:bCs/>
                <w:color w:val="000000" w:themeColor="text1"/>
                <w:lang w:bidi="fa-IR"/>
                <w14:textFill>
                  <w14:solidFill>
                    <w14:schemeClr w14:val="tx1"/>
                  </w14:solidFill>
                </w14:textFill>
              </w:rPr>
              <w:t xml:space="preserve"> (Constant)</w:t>
            </w:r>
          </w:p>
        </w:tc>
        <w:tc>
          <w:tcPr>
            <w:tcW w:w="1522" w:type="dxa"/>
            <w:shd w:val="clear" w:color="auto" w:fill="CCCCCC" w:themeFill="text1" w:themeFillTint="33"/>
            <w:vAlign w:val="center"/>
          </w:tcPr>
          <w:p w14:paraId="564F5B43">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۱۳.۹۵۵</w:t>
            </w:r>
          </w:p>
        </w:tc>
        <w:tc>
          <w:tcPr>
            <w:tcW w:w="1522" w:type="dxa"/>
            <w:shd w:val="clear" w:color="auto" w:fill="CCCCCC" w:themeFill="text1" w:themeFillTint="33"/>
            <w:vAlign w:val="center"/>
          </w:tcPr>
          <w:p w14:paraId="3F76C90D">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۲۲.۲۷۵</w:t>
            </w:r>
          </w:p>
        </w:tc>
        <w:tc>
          <w:tcPr>
            <w:tcW w:w="1522" w:type="dxa"/>
            <w:shd w:val="clear" w:color="auto" w:fill="CCCCCC" w:themeFill="text1" w:themeFillTint="33"/>
            <w:vAlign w:val="center"/>
          </w:tcPr>
          <w:p w14:paraId="62558087">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w:t>
            </w:r>
          </w:p>
        </w:tc>
        <w:tc>
          <w:tcPr>
            <w:tcW w:w="1446" w:type="dxa"/>
            <w:shd w:val="clear" w:color="auto" w:fill="CCCCCC" w:themeFill="text1" w:themeFillTint="33"/>
            <w:vAlign w:val="center"/>
          </w:tcPr>
          <w:p w14:paraId="2219A765">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۰.۶۲۶</w:t>
            </w:r>
          </w:p>
        </w:tc>
        <w:tc>
          <w:tcPr>
            <w:tcW w:w="1513" w:type="dxa"/>
            <w:shd w:val="clear" w:color="auto" w:fill="CCCCCC" w:themeFill="text1" w:themeFillTint="33"/>
            <w:vAlign w:val="center"/>
          </w:tcPr>
          <w:p w14:paraId="042D5AF8">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۰.۵۳۲</w:t>
            </w:r>
          </w:p>
        </w:tc>
      </w:tr>
      <w:tr w14:paraId="784CA42A">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right"/>
        </w:trPr>
        <w:tc>
          <w:tcPr>
            <w:tcW w:w="2408" w:type="dxa"/>
            <w:vAlign w:val="center"/>
          </w:tcPr>
          <w:p w14:paraId="7794166D">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lang w:bidi="fa-IR"/>
                <w14:textFill>
                  <w14:solidFill>
                    <w14:schemeClr w14:val="tx1"/>
                  </w14:solidFill>
                </w14:textFill>
              </w:rPr>
            </w:pPr>
            <w:r>
              <w:rPr>
                <w:rFonts w:hint="default" w:ascii="Arial" w:hAnsi="Arial" w:cs="Arial"/>
                <w:b/>
                <w:bCs/>
                <w:color w:val="000000" w:themeColor="text1"/>
                <w:rtl/>
                <w:lang w:bidi="fa-IR"/>
                <w14:textFill>
                  <w14:solidFill>
                    <w14:schemeClr w14:val="tx1"/>
                  </w14:solidFill>
                </w14:textFill>
              </w:rPr>
              <w:t>سرفه</w:t>
            </w:r>
            <w:r>
              <w:rPr>
                <w:rFonts w:hint="default" w:ascii="Arial" w:hAnsi="Arial" w:cs="Arial"/>
                <w:b/>
                <w:bCs/>
                <w:color w:val="000000" w:themeColor="text1"/>
                <w:lang w:bidi="fa-IR"/>
                <w14:textFill>
                  <w14:solidFill>
                    <w14:schemeClr w14:val="tx1"/>
                  </w14:solidFill>
                </w14:textFill>
              </w:rPr>
              <w:t xml:space="preserve"> (cough)</w:t>
            </w:r>
          </w:p>
        </w:tc>
        <w:tc>
          <w:tcPr>
            <w:tcW w:w="1522" w:type="dxa"/>
            <w:vAlign w:val="center"/>
          </w:tcPr>
          <w:p w14:paraId="706A83ED">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lang w:bidi="fa-IR"/>
                <w14:textFill>
                  <w14:solidFill>
                    <w14:schemeClr w14:val="tx1"/>
                  </w14:solidFill>
                </w14:textFill>
              </w:rPr>
              <w:t>-</w:t>
            </w:r>
            <w:r>
              <w:rPr>
                <w:rFonts w:hint="default" w:ascii="Arial" w:hAnsi="Arial" w:cs="Arial"/>
                <w:color w:val="000000" w:themeColor="text1"/>
                <w:rtl/>
                <w:lang w:bidi="fa-IR"/>
                <w14:textFill>
                  <w14:solidFill>
                    <w14:schemeClr w14:val="tx1"/>
                  </w14:solidFill>
                </w14:textFill>
              </w:rPr>
              <w:t>۱.۰۷۳</w:t>
            </w:r>
          </w:p>
        </w:tc>
        <w:tc>
          <w:tcPr>
            <w:tcW w:w="1522" w:type="dxa"/>
            <w:vAlign w:val="center"/>
          </w:tcPr>
          <w:p w14:paraId="4E19DDB8">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۰.۹۱۸</w:t>
            </w:r>
          </w:p>
        </w:tc>
        <w:tc>
          <w:tcPr>
            <w:tcW w:w="1522" w:type="dxa"/>
            <w:vAlign w:val="center"/>
          </w:tcPr>
          <w:p w14:paraId="6AB9D59F">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-۰.۰۹۰</w:t>
            </w:r>
          </w:p>
        </w:tc>
        <w:tc>
          <w:tcPr>
            <w:tcW w:w="1446" w:type="dxa"/>
            <w:vAlign w:val="center"/>
          </w:tcPr>
          <w:p w14:paraId="271E3A68">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-۱.۱۶۹</w:t>
            </w:r>
          </w:p>
        </w:tc>
        <w:tc>
          <w:tcPr>
            <w:tcW w:w="1513" w:type="dxa"/>
            <w:vAlign w:val="center"/>
          </w:tcPr>
          <w:p w14:paraId="11905325">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۰.۲۴۴</w:t>
            </w:r>
          </w:p>
        </w:tc>
      </w:tr>
      <w:tr w14:paraId="724A668D">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right"/>
        </w:trPr>
        <w:tc>
          <w:tcPr>
            <w:tcW w:w="2408" w:type="dxa"/>
            <w:shd w:val="clear" w:color="auto" w:fill="CCCCCC" w:themeFill="text1" w:themeFillTint="33"/>
            <w:vAlign w:val="center"/>
          </w:tcPr>
          <w:p w14:paraId="415A0EF5">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lang w:bidi="fa-IR"/>
                <w14:textFill>
                  <w14:solidFill>
                    <w14:schemeClr w14:val="tx1"/>
                  </w14:solidFill>
                </w14:textFill>
              </w:rPr>
            </w:pPr>
            <w:r>
              <w:rPr>
                <w:rFonts w:hint="default" w:ascii="Arial" w:hAnsi="Arial" w:cs="Arial"/>
                <w:b/>
                <w:bCs/>
                <w:color w:val="000000" w:themeColor="text1"/>
                <w:rtl/>
                <w:lang w:bidi="fa-IR"/>
                <w14:textFill>
                  <w14:solidFill>
                    <w14:schemeClr w14:val="tx1"/>
                  </w14:solidFill>
                </w14:textFill>
              </w:rPr>
              <w:t>سرگیجه</w:t>
            </w:r>
            <w:r>
              <w:rPr>
                <w:rFonts w:hint="default" w:ascii="Arial" w:hAnsi="Arial" w:cs="Arial"/>
                <w:b/>
                <w:bCs/>
                <w:color w:val="000000" w:themeColor="text1"/>
                <w:lang w:bidi="fa-IR"/>
                <w14:textFill>
                  <w14:solidFill>
                    <w14:schemeClr w14:val="tx1"/>
                  </w14:solidFill>
                </w14:textFill>
              </w:rPr>
              <w:t xml:space="preserve"> (dizziness)</w:t>
            </w:r>
          </w:p>
        </w:tc>
        <w:tc>
          <w:tcPr>
            <w:tcW w:w="1522" w:type="dxa"/>
            <w:shd w:val="clear" w:color="auto" w:fill="CCCCCC" w:themeFill="text1" w:themeFillTint="33"/>
            <w:vAlign w:val="center"/>
          </w:tcPr>
          <w:p w14:paraId="1DBD64C5">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۰.۸۶۵</w:t>
            </w:r>
          </w:p>
        </w:tc>
        <w:tc>
          <w:tcPr>
            <w:tcW w:w="1522" w:type="dxa"/>
            <w:shd w:val="clear" w:color="auto" w:fill="CCCCCC" w:themeFill="text1" w:themeFillTint="33"/>
            <w:vAlign w:val="center"/>
          </w:tcPr>
          <w:p w14:paraId="55A9F9F0">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۱.۱۶۸</w:t>
            </w:r>
          </w:p>
        </w:tc>
        <w:tc>
          <w:tcPr>
            <w:tcW w:w="1522" w:type="dxa"/>
            <w:shd w:val="clear" w:color="auto" w:fill="CCCCCC" w:themeFill="text1" w:themeFillTint="33"/>
            <w:vAlign w:val="center"/>
          </w:tcPr>
          <w:p w14:paraId="524CF416">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۰.۰۵۷</w:t>
            </w:r>
          </w:p>
        </w:tc>
        <w:tc>
          <w:tcPr>
            <w:tcW w:w="1446" w:type="dxa"/>
            <w:shd w:val="clear" w:color="auto" w:fill="CCCCCC" w:themeFill="text1" w:themeFillTint="33"/>
            <w:vAlign w:val="center"/>
          </w:tcPr>
          <w:p w14:paraId="75BEFB87">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۰.۷۴۱</w:t>
            </w:r>
          </w:p>
        </w:tc>
        <w:tc>
          <w:tcPr>
            <w:tcW w:w="1513" w:type="dxa"/>
            <w:shd w:val="clear" w:color="auto" w:fill="CCCCCC" w:themeFill="text1" w:themeFillTint="33"/>
            <w:vAlign w:val="center"/>
          </w:tcPr>
          <w:p w14:paraId="504136D2">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۰.۴۶۰</w:t>
            </w:r>
          </w:p>
        </w:tc>
      </w:tr>
      <w:tr w14:paraId="63D1D02B">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right"/>
        </w:trPr>
        <w:tc>
          <w:tcPr>
            <w:tcW w:w="2408" w:type="dxa"/>
            <w:vAlign w:val="center"/>
          </w:tcPr>
          <w:p w14:paraId="2A2176A9">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lang w:bidi="fa-IR"/>
                <w14:textFill>
                  <w14:solidFill>
                    <w14:schemeClr w14:val="tx1"/>
                  </w14:solidFill>
                </w14:textFill>
              </w:rPr>
            </w:pPr>
            <w:r>
              <w:rPr>
                <w:rFonts w:hint="default" w:ascii="Arial" w:hAnsi="Arial" w:cs="Arial"/>
                <w:b/>
                <w:bCs/>
                <w:color w:val="000000" w:themeColor="text1"/>
                <w:rtl/>
                <w:lang w:bidi="fa-IR"/>
                <w14:textFill>
                  <w14:solidFill>
                    <w14:schemeClr w14:val="tx1"/>
                  </w14:solidFill>
                </w14:textFill>
              </w:rPr>
              <w:t>دیسفاژی</w:t>
            </w:r>
            <w:r>
              <w:rPr>
                <w:rFonts w:hint="default" w:ascii="Arial" w:hAnsi="Arial" w:cs="Arial"/>
                <w:b/>
                <w:bCs/>
                <w:color w:val="000000" w:themeColor="text1"/>
                <w:lang w:bidi="fa-IR"/>
                <w14:textFill>
                  <w14:solidFill>
                    <w14:schemeClr w14:val="tx1"/>
                  </w14:solidFill>
                </w14:textFill>
              </w:rPr>
              <w:t xml:space="preserve"> (dysphagia)</w:t>
            </w:r>
          </w:p>
        </w:tc>
        <w:tc>
          <w:tcPr>
            <w:tcW w:w="1522" w:type="dxa"/>
            <w:vAlign w:val="center"/>
          </w:tcPr>
          <w:p w14:paraId="19CC74DF">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lang w:bidi="fa-IR"/>
                <w14:textFill>
                  <w14:solidFill>
                    <w14:schemeClr w14:val="tx1"/>
                  </w14:solidFill>
                </w14:textFill>
              </w:rPr>
              <w:t>-</w:t>
            </w:r>
            <w:r>
              <w:rPr>
                <w:rFonts w:hint="default" w:ascii="Arial" w:hAnsi="Arial" w:cs="Arial"/>
                <w:color w:val="000000" w:themeColor="text1"/>
                <w:rtl/>
                <w:lang w:bidi="fa-IR"/>
                <w14:textFill>
                  <w14:solidFill>
                    <w14:schemeClr w14:val="tx1"/>
                  </w14:solidFill>
                </w14:textFill>
              </w:rPr>
              <w:t>۵.۷۴۴</w:t>
            </w:r>
          </w:p>
        </w:tc>
        <w:tc>
          <w:tcPr>
            <w:tcW w:w="1522" w:type="dxa"/>
            <w:vAlign w:val="center"/>
          </w:tcPr>
          <w:p w14:paraId="01CDE5BE">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۴.۰۲۲</w:t>
            </w:r>
          </w:p>
        </w:tc>
        <w:tc>
          <w:tcPr>
            <w:tcW w:w="1522" w:type="dxa"/>
            <w:vAlign w:val="center"/>
          </w:tcPr>
          <w:p w14:paraId="0B61E36E">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-۰.۱۱۹</w:t>
            </w:r>
          </w:p>
        </w:tc>
        <w:tc>
          <w:tcPr>
            <w:tcW w:w="1446" w:type="dxa"/>
            <w:vAlign w:val="center"/>
          </w:tcPr>
          <w:p w14:paraId="683B0104">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-۱.۴۲۸</w:t>
            </w:r>
          </w:p>
        </w:tc>
        <w:tc>
          <w:tcPr>
            <w:tcW w:w="1513" w:type="dxa"/>
            <w:vAlign w:val="center"/>
          </w:tcPr>
          <w:p w14:paraId="1FC7F736">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۰.۱۵۵</w:t>
            </w:r>
          </w:p>
        </w:tc>
      </w:tr>
      <w:tr w14:paraId="70E30158">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right"/>
        </w:trPr>
        <w:tc>
          <w:tcPr>
            <w:tcW w:w="2408" w:type="dxa"/>
            <w:shd w:val="clear" w:color="auto" w:fill="CCCCCC" w:themeFill="text1" w:themeFillTint="33"/>
            <w:vAlign w:val="center"/>
          </w:tcPr>
          <w:p w14:paraId="006BA09B">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lang w:bidi="fa-IR"/>
                <w14:textFill>
                  <w14:solidFill>
                    <w14:schemeClr w14:val="tx1"/>
                  </w14:solidFill>
                </w14:textFill>
              </w:rPr>
            </w:pPr>
            <w:r>
              <w:rPr>
                <w:rFonts w:hint="default" w:ascii="Arial" w:hAnsi="Arial" w:cs="Arial"/>
                <w:b/>
                <w:bCs/>
                <w:color w:val="000000" w:themeColor="text1"/>
                <w:rtl/>
                <w:lang w:bidi="fa-IR"/>
                <w14:textFill>
                  <w14:solidFill>
                    <w14:schemeClr w14:val="tx1"/>
                  </w14:solidFill>
                </w14:textFill>
              </w:rPr>
              <w:t>خونریزی بینی</w:t>
            </w:r>
            <w:r>
              <w:rPr>
                <w:rFonts w:hint="default" w:ascii="Arial" w:hAnsi="Arial" w:cs="Arial"/>
                <w:b/>
                <w:bCs/>
                <w:color w:val="000000" w:themeColor="text1"/>
                <w:lang w:bidi="fa-IR"/>
                <w14:textFill>
                  <w14:solidFill>
                    <w14:schemeClr w14:val="tx1"/>
                  </w14:solidFill>
                </w14:textFill>
              </w:rPr>
              <w:t xml:space="preserve"> (epistaxis)</w:t>
            </w:r>
          </w:p>
        </w:tc>
        <w:tc>
          <w:tcPr>
            <w:tcW w:w="1522" w:type="dxa"/>
            <w:shd w:val="clear" w:color="auto" w:fill="CCCCCC" w:themeFill="text1" w:themeFillTint="33"/>
            <w:vAlign w:val="center"/>
          </w:tcPr>
          <w:p w14:paraId="02AA9173">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lang w:bidi="fa-IR"/>
                <w14:textFill>
                  <w14:solidFill>
                    <w14:schemeClr w14:val="tx1"/>
                  </w14:solidFill>
                </w14:textFill>
              </w:rPr>
              <w:t>-</w:t>
            </w:r>
            <w:r>
              <w:rPr>
                <w:rFonts w:hint="default" w:ascii="Arial" w:hAnsi="Arial" w:cs="Arial"/>
                <w:color w:val="000000" w:themeColor="text1"/>
                <w:rtl/>
                <w:lang w:bidi="fa-IR"/>
                <w14:textFill>
                  <w14:solidFill>
                    <w14:schemeClr w14:val="tx1"/>
                  </w14:solidFill>
                </w14:textFill>
              </w:rPr>
              <w:t>۲.۱۰۷</w:t>
            </w:r>
          </w:p>
        </w:tc>
        <w:tc>
          <w:tcPr>
            <w:tcW w:w="1522" w:type="dxa"/>
            <w:shd w:val="clear" w:color="auto" w:fill="CCCCCC" w:themeFill="text1" w:themeFillTint="33"/>
            <w:vAlign w:val="center"/>
          </w:tcPr>
          <w:p w14:paraId="63080E6D">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۴.۵۱۴</w:t>
            </w:r>
          </w:p>
        </w:tc>
        <w:tc>
          <w:tcPr>
            <w:tcW w:w="1522" w:type="dxa"/>
            <w:shd w:val="clear" w:color="auto" w:fill="CCCCCC" w:themeFill="text1" w:themeFillTint="33"/>
            <w:vAlign w:val="center"/>
          </w:tcPr>
          <w:p w14:paraId="30F8DB06">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-۰.۰۳۶</w:t>
            </w:r>
          </w:p>
        </w:tc>
        <w:tc>
          <w:tcPr>
            <w:tcW w:w="1446" w:type="dxa"/>
            <w:shd w:val="clear" w:color="auto" w:fill="CCCCCC" w:themeFill="text1" w:themeFillTint="33"/>
            <w:vAlign w:val="center"/>
          </w:tcPr>
          <w:p w14:paraId="4ED1D3AE">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-۰.۴۶۷</w:t>
            </w:r>
          </w:p>
        </w:tc>
        <w:tc>
          <w:tcPr>
            <w:tcW w:w="1513" w:type="dxa"/>
            <w:shd w:val="clear" w:color="auto" w:fill="CCCCCC" w:themeFill="text1" w:themeFillTint="33"/>
            <w:vAlign w:val="center"/>
          </w:tcPr>
          <w:p w14:paraId="3B97186E">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۰.۶۴۱</w:t>
            </w:r>
          </w:p>
        </w:tc>
      </w:tr>
      <w:tr w14:paraId="15CDB8F1">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right"/>
        </w:trPr>
        <w:tc>
          <w:tcPr>
            <w:tcW w:w="2408" w:type="dxa"/>
            <w:vAlign w:val="center"/>
          </w:tcPr>
          <w:p w14:paraId="126A49AF">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lang w:bidi="fa-IR"/>
                <w14:textFill>
                  <w14:solidFill>
                    <w14:schemeClr w14:val="tx1"/>
                  </w14:solidFill>
                </w14:textFill>
              </w:rPr>
            </w:pPr>
            <w:r>
              <w:rPr>
                <w:rFonts w:hint="default" w:ascii="Arial" w:hAnsi="Arial" w:cs="Arial"/>
                <w:b/>
                <w:bCs/>
                <w:color w:val="000000" w:themeColor="text1"/>
                <w:rtl/>
                <w:lang w:bidi="fa-IR"/>
                <w14:textFill>
                  <w14:solidFill>
                    <w14:schemeClr w14:val="tx1"/>
                  </w14:solidFill>
                </w14:textFill>
              </w:rPr>
              <w:t>هایپوژنسیا</w:t>
            </w:r>
            <w:r>
              <w:rPr>
                <w:rFonts w:hint="default" w:ascii="Arial" w:hAnsi="Arial" w:cs="Arial"/>
                <w:b/>
                <w:bCs/>
                <w:color w:val="000000" w:themeColor="text1"/>
                <w:lang w:bidi="fa-IR"/>
                <w14:textFill>
                  <w14:solidFill>
                    <w14:schemeClr w14:val="tx1"/>
                  </w14:solidFill>
                </w14:textFill>
              </w:rPr>
              <w:t xml:space="preserve"> (hypogensia)</w:t>
            </w:r>
          </w:p>
        </w:tc>
        <w:tc>
          <w:tcPr>
            <w:tcW w:w="1522" w:type="dxa"/>
            <w:vAlign w:val="center"/>
          </w:tcPr>
          <w:p w14:paraId="2527BB08">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lang w:bidi="fa-IR"/>
                <w14:textFill>
                  <w14:solidFill>
                    <w14:schemeClr w14:val="tx1"/>
                  </w14:solidFill>
                </w14:textFill>
              </w:rPr>
              <w:t>-</w:t>
            </w:r>
            <w:r>
              <w:rPr>
                <w:rFonts w:hint="default" w:ascii="Arial" w:hAnsi="Arial" w:cs="Arial"/>
                <w:color w:val="000000" w:themeColor="text1"/>
                <w:rtl/>
                <w:lang w:bidi="fa-IR"/>
                <w14:textFill>
                  <w14:solidFill>
                    <w14:schemeClr w14:val="tx1"/>
                  </w14:solidFill>
                </w14:textFill>
              </w:rPr>
              <w:t>۱.۸۶۸</w:t>
            </w:r>
          </w:p>
        </w:tc>
        <w:tc>
          <w:tcPr>
            <w:tcW w:w="1522" w:type="dxa"/>
            <w:vAlign w:val="center"/>
          </w:tcPr>
          <w:p w14:paraId="27B76867">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۲.۶۶۰</w:t>
            </w:r>
          </w:p>
        </w:tc>
        <w:tc>
          <w:tcPr>
            <w:tcW w:w="1522" w:type="dxa"/>
            <w:vAlign w:val="center"/>
          </w:tcPr>
          <w:p w14:paraId="050C093E">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-۰.۰۸۴</w:t>
            </w:r>
          </w:p>
        </w:tc>
        <w:tc>
          <w:tcPr>
            <w:tcW w:w="1446" w:type="dxa"/>
            <w:vAlign w:val="center"/>
          </w:tcPr>
          <w:p w14:paraId="4E0D1FBA">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-۰.۷۰۲</w:t>
            </w:r>
          </w:p>
        </w:tc>
        <w:tc>
          <w:tcPr>
            <w:tcW w:w="1513" w:type="dxa"/>
            <w:vAlign w:val="center"/>
          </w:tcPr>
          <w:p w14:paraId="0FF6E6DC">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۰.۴۸۳</w:t>
            </w:r>
          </w:p>
        </w:tc>
      </w:tr>
      <w:tr w14:paraId="259107D2">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right"/>
        </w:trPr>
        <w:tc>
          <w:tcPr>
            <w:tcW w:w="2408" w:type="dxa"/>
            <w:shd w:val="clear" w:color="auto" w:fill="CCCCCC" w:themeFill="text1" w:themeFillTint="33"/>
            <w:vAlign w:val="center"/>
          </w:tcPr>
          <w:p w14:paraId="4E4FBFB3">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lang w:bidi="fa-IR"/>
                <w14:textFill>
                  <w14:solidFill>
                    <w14:schemeClr w14:val="tx1"/>
                  </w14:solidFill>
                </w14:textFill>
              </w:rPr>
            </w:pPr>
            <w:r>
              <w:rPr>
                <w:rFonts w:hint="default" w:ascii="Arial" w:hAnsi="Arial" w:cs="Arial"/>
                <w:b/>
                <w:bCs/>
                <w:color w:val="000000" w:themeColor="text1"/>
                <w:rtl/>
                <w:lang w:bidi="fa-IR"/>
                <w14:textFill>
                  <w14:solidFill>
                    <w14:schemeClr w14:val="tx1"/>
                  </w14:solidFill>
                </w14:textFill>
              </w:rPr>
              <w:t>هایپوسمیا</w:t>
            </w:r>
            <w:r>
              <w:rPr>
                <w:rFonts w:hint="default" w:ascii="Arial" w:hAnsi="Arial" w:cs="Arial"/>
                <w:b/>
                <w:bCs/>
                <w:color w:val="000000" w:themeColor="text1"/>
                <w:lang w:bidi="fa-IR"/>
                <w14:textFill>
                  <w14:solidFill>
                    <w14:schemeClr w14:val="tx1"/>
                  </w14:solidFill>
                </w14:textFill>
              </w:rPr>
              <w:t xml:space="preserve"> (hyposmia)</w:t>
            </w:r>
          </w:p>
        </w:tc>
        <w:tc>
          <w:tcPr>
            <w:tcW w:w="1522" w:type="dxa"/>
            <w:shd w:val="clear" w:color="auto" w:fill="CCCCCC" w:themeFill="text1" w:themeFillTint="33"/>
            <w:vAlign w:val="center"/>
          </w:tcPr>
          <w:p w14:paraId="2C80739C">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۲.۸۴۳</w:t>
            </w:r>
          </w:p>
        </w:tc>
        <w:tc>
          <w:tcPr>
            <w:tcW w:w="1522" w:type="dxa"/>
            <w:shd w:val="clear" w:color="auto" w:fill="CCCCCC" w:themeFill="text1" w:themeFillTint="33"/>
            <w:vAlign w:val="center"/>
          </w:tcPr>
          <w:p w14:paraId="0D25B145">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۲.۲۶۲</w:t>
            </w:r>
          </w:p>
        </w:tc>
        <w:tc>
          <w:tcPr>
            <w:tcW w:w="1522" w:type="dxa"/>
            <w:shd w:val="clear" w:color="auto" w:fill="CCCCCC" w:themeFill="text1" w:themeFillTint="33"/>
            <w:vAlign w:val="center"/>
          </w:tcPr>
          <w:p w14:paraId="5689F38B">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۰.۱۴۵</w:t>
            </w:r>
          </w:p>
        </w:tc>
        <w:tc>
          <w:tcPr>
            <w:tcW w:w="1446" w:type="dxa"/>
            <w:shd w:val="clear" w:color="auto" w:fill="CCCCCC" w:themeFill="text1" w:themeFillTint="33"/>
            <w:vAlign w:val="center"/>
          </w:tcPr>
          <w:p w14:paraId="5503D610">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۱.۲۵۷</w:t>
            </w:r>
          </w:p>
        </w:tc>
        <w:tc>
          <w:tcPr>
            <w:tcW w:w="1513" w:type="dxa"/>
            <w:shd w:val="clear" w:color="auto" w:fill="CCCCCC" w:themeFill="text1" w:themeFillTint="33"/>
            <w:vAlign w:val="center"/>
          </w:tcPr>
          <w:p w14:paraId="18AE6116">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۰.۲۱۰</w:t>
            </w:r>
          </w:p>
        </w:tc>
      </w:tr>
      <w:tr w14:paraId="73CF358D">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right"/>
        </w:trPr>
        <w:tc>
          <w:tcPr>
            <w:tcW w:w="2408" w:type="dxa"/>
            <w:vAlign w:val="center"/>
          </w:tcPr>
          <w:p w14:paraId="58F4BC9D">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lang w:bidi="fa-IR"/>
                <w14:textFill>
                  <w14:solidFill>
                    <w14:schemeClr w14:val="tx1"/>
                  </w14:solidFill>
                </w14:textFill>
              </w:rPr>
            </w:pPr>
            <w:r>
              <w:rPr>
                <w:rFonts w:hint="default" w:ascii="Arial" w:hAnsi="Arial" w:cs="Arial"/>
                <w:b/>
                <w:bCs/>
                <w:color w:val="000000" w:themeColor="text1"/>
                <w:rtl/>
                <w:lang w:bidi="fa-IR"/>
                <w14:textFill>
                  <w14:solidFill>
                    <w14:schemeClr w14:val="tx1"/>
                  </w14:solidFill>
                </w14:textFill>
              </w:rPr>
              <w:t>گرفتگی صدا</w:t>
            </w:r>
            <w:r>
              <w:rPr>
                <w:rFonts w:hint="default" w:ascii="Arial" w:hAnsi="Arial" w:cs="Arial"/>
                <w:b/>
                <w:bCs/>
                <w:color w:val="000000" w:themeColor="text1"/>
                <w:lang w:bidi="fa-IR"/>
                <w14:textFill>
                  <w14:solidFill>
                    <w14:schemeClr w14:val="tx1"/>
                  </w14:solidFill>
                </w14:textFill>
              </w:rPr>
              <w:t xml:space="preserve"> (hoarseness)</w:t>
            </w:r>
          </w:p>
        </w:tc>
        <w:tc>
          <w:tcPr>
            <w:tcW w:w="1522" w:type="dxa"/>
            <w:vAlign w:val="center"/>
          </w:tcPr>
          <w:p w14:paraId="07D5CB32">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۰.۳۸۶</w:t>
            </w:r>
          </w:p>
        </w:tc>
        <w:tc>
          <w:tcPr>
            <w:tcW w:w="1522" w:type="dxa"/>
            <w:vAlign w:val="center"/>
          </w:tcPr>
          <w:p w14:paraId="0019D3EF">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۴.۶۲۶</w:t>
            </w:r>
          </w:p>
        </w:tc>
        <w:tc>
          <w:tcPr>
            <w:tcW w:w="1522" w:type="dxa"/>
            <w:vAlign w:val="center"/>
          </w:tcPr>
          <w:p w14:paraId="07840C0E">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۰.۰۰۷</w:t>
            </w:r>
          </w:p>
        </w:tc>
        <w:tc>
          <w:tcPr>
            <w:tcW w:w="1446" w:type="dxa"/>
            <w:vAlign w:val="center"/>
          </w:tcPr>
          <w:p w14:paraId="48C94D9F">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۰.۰۸۳</w:t>
            </w:r>
          </w:p>
        </w:tc>
        <w:tc>
          <w:tcPr>
            <w:tcW w:w="1513" w:type="dxa"/>
            <w:vAlign w:val="center"/>
          </w:tcPr>
          <w:p w14:paraId="65705482">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۰.۹۳۴</w:t>
            </w:r>
          </w:p>
        </w:tc>
      </w:tr>
      <w:tr w14:paraId="2291D738">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right"/>
        </w:trPr>
        <w:tc>
          <w:tcPr>
            <w:tcW w:w="2408" w:type="dxa"/>
            <w:shd w:val="clear" w:color="auto" w:fill="CCCCCC" w:themeFill="text1" w:themeFillTint="33"/>
            <w:vAlign w:val="center"/>
          </w:tcPr>
          <w:p w14:paraId="4A1DE4B5">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lang w:bidi="fa-IR"/>
                <w14:textFill>
                  <w14:solidFill>
                    <w14:schemeClr w14:val="tx1"/>
                  </w14:solidFill>
                </w14:textFill>
              </w:rPr>
            </w:pPr>
            <w:r>
              <w:rPr>
                <w:rFonts w:hint="default" w:ascii="Arial" w:hAnsi="Arial" w:cs="Arial"/>
                <w:b/>
                <w:bCs/>
                <w:color w:val="000000" w:themeColor="text1"/>
                <w:rtl/>
                <w:lang w:bidi="fa-IR"/>
                <w14:textFill>
                  <w14:solidFill>
                    <w14:schemeClr w14:val="tx1"/>
                  </w14:solidFill>
                </w14:textFill>
              </w:rPr>
              <w:t>گلودرد خارش دار</w:t>
            </w:r>
            <w:r>
              <w:rPr>
                <w:rFonts w:hint="default" w:ascii="Arial" w:hAnsi="Arial" w:cs="Arial"/>
                <w:b/>
                <w:bCs/>
                <w:color w:val="000000" w:themeColor="text1"/>
                <w:lang w:bidi="fa-IR"/>
                <w14:textFill>
                  <w14:solidFill>
                    <w14:schemeClr w14:val="tx1"/>
                  </w14:solidFill>
                </w14:textFill>
              </w:rPr>
              <w:t xml:space="preserve"> (itchythroat)</w:t>
            </w:r>
          </w:p>
        </w:tc>
        <w:tc>
          <w:tcPr>
            <w:tcW w:w="1522" w:type="dxa"/>
            <w:shd w:val="clear" w:color="auto" w:fill="CCCCCC" w:themeFill="text1" w:themeFillTint="33"/>
            <w:vAlign w:val="center"/>
          </w:tcPr>
          <w:p w14:paraId="1F9B1EFC">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۲.۷۹۰</w:t>
            </w:r>
          </w:p>
        </w:tc>
        <w:tc>
          <w:tcPr>
            <w:tcW w:w="1522" w:type="dxa"/>
            <w:shd w:val="clear" w:color="auto" w:fill="CCCCCC" w:themeFill="text1" w:themeFillTint="33"/>
            <w:vAlign w:val="center"/>
          </w:tcPr>
          <w:p w14:paraId="1336A10F">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۶.۴۵۳</w:t>
            </w:r>
          </w:p>
        </w:tc>
        <w:tc>
          <w:tcPr>
            <w:tcW w:w="1522" w:type="dxa"/>
            <w:shd w:val="clear" w:color="auto" w:fill="CCCCCC" w:themeFill="text1" w:themeFillTint="33"/>
            <w:vAlign w:val="center"/>
          </w:tcPr>
          <w:p w14:paraId="016728BA">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۰.۰۳۴</w:t>
            </w:r>
          </w:p>
        </w:tc>
        <w:tc>
          <w:tcPr>
            <w:tcW w:w="1446" w:type="dxa"/>
            <w:shd w:val="clear" w:color="auto" w:fill="CCCCCC" w:themeFill="text1" w:themeFillTint="33"/>
            <w:vAlign w:val="center"/>
          </w:tcPr>
          <w:p w14:paraId="3FC1F7C7">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۰.۴۳۲</w:t>
            </w:r>
          </w:p>
        </w:tc>
        <w:tc>
          <w:tcPr>
            <w:tcW w:w="1513" w:type="dxa"/>
            <w:shd w:val="clear" w:color="auto" w:fill="CCCCCC" w:themeFill="text1" w:themeFillTint="33"/>
            <w:vAlign w:val="center"/>
          </w:tcPr>
          <w:p w14:paraId="5A725132">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۰.۶۶۶</w:t>
            </w:r>
          </w:p>
        </w:tc>
      </w:tr>
      <w:tr w14:paraId="5AEE1488">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right"/>
        </w:trPr>
        <w:tc>
          <w:tcPr>
            <w:tcW w:w="2408" w:type="dxa"/>
            <w:vAlign w:val="center"/>
          </w:tcPr>
          <w:p w14:paraId="679682A0">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lang w:bidi="fa-IR"/>
                <w14:textFill>
                  <w14:solidFill>
                    <w14:schemeClr w14:val="tx1"/>
                  </w14:solidFill>
                </w14:textFill>
              </w:rPr>
            </w:pPr>
            <w:r>
              <w:rPr>
                <w:rFonts w:hint="default" w:ascii="Arial" w:hAnsi="Arial" w:cs="Arial"/>
                <w:b/>
                <w:bCs/>
                <w:color w:val="000000" w:themeColor="text1"/>
                <w:rtl/>
                <w:lang w:bidi="fa-IR"/>
                <w14:textFill>
                  <w14:solidFill>
                    <w14:schemeClr w14:val="tx1"/>
                  </w14:solidFill>
                </w14:textFill>
              </w:rPr>
              <w:t>احتقان بینی</w:t>
            </w:r>
            <w:r>
              <w:rPr>
                <w:rFonts w:hint="default" w:ascii="Arial" w:hAnsi="Arial" w:cs="Arial"/>
                <w:b/>
                <w:bCs/>
                <w:color w:val="000000" w:themeColor="text1"/>
                <w:lang w:bidi="fa-IR"/>
                <w14:textFill>
                  <w14:solidFill>
                    <w14:schemeClr w14:val="tx1"/>
                  </w14:solidFill>
                </w14:textFill>
              </w:rPr>
              <w:t xml:space="preserve"> (nasalcongestion)</w:t>
            </w:r>
          </w:p>
        </w:tc>
        <w:tc>
          <w:tcPr>
            <w:tcW w:w="1522" w:type="dxa"/>
            <w:vAlign w:val="center"/>
          </w:tcPr>
          <w:p w14:paraId="2B1E734B">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۰.۸۳۳</w:t>
            </w:r>
          </w:p>
        </w:tc>
        <w:tc>
          <w:tcPr>
            <w:tcW w:w="1522" w:type="dxa"/>
            <w:vAlign w:val="center"/>
          </w:tcPr>
          <w:p w14:paraId="26FAF50E">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۳.۶۰۵</w:t>
            </w:r>
          </w:p>
        </w:tc>
        <w:tc>
          <w:tcPr>
            <w:tcW w:w="1522" w:type="dxa"/>
            <w:vAlign w:val="center"/>
          </w:tcPr>
          <w:p w14:paraId="384CD890">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۰.۰۱۷</w:t>
            </w:r>
          </w:p>
        </w:tc>
        <w:tc>
          <w:tcPr>
            <w:tcW w:w="1446" w:type="dxa"/>
            <w:vAlign w:val="center"/>
          </w:tcPr>
          <w:p w14:paraId="045CAFA8">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۰.۲۳۱</w:t>
            </w:r>
          </w:p>
        </w:tc>
        <w:tc>
          <w:tcPr>
            <w:tcW w:w="1513" w:type="dxa"/>
            <w:vAlign w:val="center"/>
          </w:tcPr>
          <w:p w14:paraId="1DDF3E01">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۰.۸۱۸</w:t>
            </w:r>
          </w:p>
        </w:tc>
      </w:tr>
      <w:tr w14:paraId="259A7E16">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right"/>
        </w:trPr>
        <w:tc>
          <w:tcPr>
            <w:tcW w:w="2408" w:type="dxa"/>
            <w:shd w:val="clear" w:color="auto" w:fill="CCCCCC" w:themeFill="text1" w:themeFillTint="33"/>
            <w:vAlign w:val="center"/>
          </w:tcPr>
          <w:p w14:paraId="439279DC">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lang w:bidi="fa-IR"/>
                <w14:textFill>
                  <w14:solidFill>
                    <w14:schemeClr w14:val="tx1"/>
                  </w14:solidFill>
                </w14:textFill>
              </w:rPr>
            </w:pPr>
            <w:r>
              <w:rPr>
                <w:rFonts w:hint="default" w:ascii="Arial" w:hAnsi="Arial" w:cs="Arial"/>
                <w:b/>
                <w:bCs/>
                <w:color w:val="000000" w:themeColor="text1"/>
                <w:lang w:bidi="fa-IR"/>
                <w14:textFill>
                  <w14:solidFill>
                    <w14:schemeClr w14:val="tx1"/>
                  </w14:solidFill>
                </w14:textFill>
              </w:rPr>
              <w:t>PND</w:t>
            </w:r>
          </w:p>
        </w:tc>
        <w:tc>
          <w:tcPr>
            <w:tcW w:w="1522" w:type="dxa"/>
            <w:shd w:val="clear" w:color="auto" w:fill="CCCCCC" w:themeFill="text1" w:themeFillTint="33"/>
            <w:vAlign w:val="center"/>
          </w:tcPr>
          <w:p w14:paraId="7F4F3B6E">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lang w:bidi="fa-IR"/>
                <w14:textFill>
                  <w14:solidFill>
                    <w14:schemeClr w14:val="tx1"/>
                  </w14:solidFill>
                </w14:textFill>
              </w:rPr>
              <w:t>-</w:t>
            </w:r>
            <w:r>
              <w:rPr>
                <w:rFonts w:hint="default" w:ascii="Arial" w:hAnsi="Arial" w:cs="Arial"/>
                <w:color w:val="000000" w:themeColor="text1"/>
                <w:rtl/>
                <w:lang w:bidi="fa-IR"/>
                <w14:textFill>
                  <w14:solidFill>
                    <w14:schemeClr w14:val="tx1"/>
                  </w14:solidFill>
                </w14:textFill>
              </w:rPr>
              <w:t>۱.۰۳۷</w:t>
            </w:r>
          </w:p>
        </w:tc>
        <w:tc>
          <w:tcPr>
            <w:tcW w:w="1522" w:type="dxa"/>
            <w:shd w:val="clear" w:color="auto" w:fill="CCCCCC" w:themeFill="text1" w:themeFillTint="33"/>
            <w:vAlign w:val="center"/>
          </w:tcPr>
          <w:p w14:paraId="6B900E44">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۲.۴۴۳</w:t>
            </w:r>
          </w:p>
        </w:tc>
        <w:tc>
          <w:tcPr>
            <w:tcW w:w="1522" w:type="dxa"/>
            <w:shd w:val="clear" w:color="auto" w:fill="CCCCCC" w:themeFill="text1" w:themeFillTint="33"/>
            <w:vAlign w:val="center"/>
          </w:tcPr>
          <w:p w14:paraId="5F11762A">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-۰.۰۳۳</w:t>
            </w:r>
          </w:p>
        </w:tc>
        <w:tc>
          <w:tcPr>
            <w:tcW w:w="1446" w:type="dxa"/>
            <w:shd w:val="clear" w:color="auto" w:fill="CCCCCC" w:themeFill="text1" w:themeFillTint="33"/>
            <w:vAlign w:val="center"/>
          </w:tcPr>
          <w:p w14:paraId="65038277">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-۰.۴۲۵</w:t>
            </w:r>
          </w:p>
        </w:tc>
        <w:tc>
          <w:tcPr>
            <w:tcW w:w="1513" w:type="dxa"/>
            <w:shd w:val="clear" w:color="auto" w:fill="CCCCCC" w:themeFill="text1" w:themeFillTint="33"/>
            <w:vAlign w:val="center"/>
          </w:tcPr>
          <w:p w14:paraId="4BD1ABE2">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۰.۶۷۲</w:t>
            </w:r>
          </w:p>
        </w:tc>
      </w:tr>
      <w:tr w14:paraId="1F7EFE5F">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right"/>
        </w:trPr>
        <w:tc>
          <w:tcPr>
            <w:tcW w:w="2408" w:type="dxa"/>
            <w:vAlign w:val="center"/>
          </w:tcPr>
          <w:p w14:paraId="3455A92E">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lang w:bidi="fa-IR"/>
                <w14:textFill>
                  <w14:solidFill>
                    <w14:schemeClr w14:val="tx1"/>
                  </w14:solidFill>
                </w14:textFill>
              </w:rPr>
            </w:pPr>
            <w:r>
              <w:rPr>
                <w:rFonts w:hint="default" w:ascii="Arial" w:hAnsi="Arial" w:cs="Arial"/>
                <w:b/>
                <w:bCs/>
                <w:color w:val="000000" w:themeColor="text1"/>
                <w:rtl/>
                <w:lang w:bidi="fa-IR"/>
                <w14:textFill>
                  <w14:solidFill>
                    <w14:schemeClr w14:val="tx1"/>
                  </w14:solidFill>
                </w14:textFill>
              </w:rPr>
              <w:t>آبریزش بینی</w:t>
            </w:r>
            <w:r>
              <w:rPr>
                <w:rFonts w:hint="default" w:ascii="Arial" w:hAnsi="Arial" w:cs="Arial"/>
                <w:b/>
                <w:bCs/>
                <w:color w:val="000000" w:themeColor="text1"/>
                <w:lang w:bidi="fa-IR"/>
                <w14:textFill>
                  <w14:solidFill>
                    <w14:schemeClr w14:val="tx1"/>
                  </w14:solidFill>
                </w14:textFill>
              </w:rPr>
              <w:t xml:space="preserve"> (runnynose)</w:t>
            </w:r>
          </w:p>
        </w:tc>
        <w:tc>
          <w:tcPr>
            <w:tcW w:w="1522" w:type="dxa"/>
            <w:vAlign w:val="center"/>
          </w:tcPr>
          <w:p w14:paraId="79056C3E">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lang w:bidi="fa-IR"/>
                <w14:textFill>
                  <w14:solidFill>
                    <w14:schemeClr w14:val="tx1"/>
                  </w14:solidFill>
                </w14:textFill>
              </w:rPr>
              <w:t>-</w:t>
            </w:r>
            <w:r>
              <w:rPr>
                <w:rFonts w:hint="default" w:ascii="Arial" w:hAnsi="Arial" w:cs="Arial"/>
                <w:color w:val="000000" w:themeColor="text1"/>
                <w:rtl/>
                <w:lang w:bidi="fa-IR"/>
                <w14:textFill>
                  <w14:solidFill>
                    <w14:schemeClr w14:val="tx1"/>
                  </w14:solidFill>
                </w14:textFill>
              </w:rPr>
              <w:t>۰.۰۷۷</w:t>
            </w:r>
          </w:p>
        </w:tc>
        <w:tc>
          <w:tcPr>
            <w:tcW w:w="1522" w:type="dxa"/>
            <w:vAlign w:val="center"/>
          </w:tcPr>
          <w:p w14:paraId="566B63DB">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۲.۳۱۶</w:t>
            </w:r>
          </w:p>
        </w:tc>
        <w:tc>
          <w:tcPr>
            <w:tcW w:w="1522" w:type="dxa"/>
            <w:vAlign w:val="center"/>
          </w:tcPr>
          <w:p w14:paraId="3213867C">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-۰.۰۰۳</w:t>
            </w:r>
          </w:p>
        </w:tc>
        <w:tc>
          <w:tcPr>
            <w:tcW w:w="1446" w:type="dxa"/>
            <w:vAlign w:val="center"/>
          </w:tcPr>
          <w:p w14:paraId="1D88486F">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-۰.۰۳۳</w:t>
            </w:r>
          </w:p>
        </w:tc>
        <w:tc>
          <w:tcPr>
            <w:tcW w:w="1513" w:type="dxa"/>
            <w:vAlign w:val="center"/>
          </w:tcPr>
          <w:p w14:paraId="60AB5296">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۰.۹۷۴</w:t>
            </w:r>
          </w:p>
        </w:tc>
      </w:tr>
      <w:tr w14:paraId="71C96618">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right"/>
        </w:trPr>
        <w:tc>
          <w:tcPr>
            <w:tcW w:w="2408" w:type="dxa"/>
            <w:shd w:val="clear" w:color="auto" w:fill="CCCCCC" w:themeFill="text1" w:themeFillTint="33"/>
            <w:vAlign w:val="center"/>
          </w:tcPr>
          <w:p w14:paraId="5397A2A3">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lang w:bidi="fa-IR"/>
                <w14:textFill>
                  <w14:solidFill>
                    <w14:schemeClr w14:val="tx1"/>
                  </w14:solidFill>
                </w14:textFill>
              </w:rPr>
            </w:pPr>
            <w:r>
              <w:rPr>
                <w:rFonts w:hint="default" w:ascii="Arial" w:hAnsi="Arial" w:cs="Arial"/>
                <w:b/>
                <w:bCs/>
                <w:color w:val="000000" w:themeColor="text1"/>
                <w:rtl/>
                <w:lang w:bidi="fa-IR"/>
                <w14:textFill>
                  <w14:solidFill>
                    <w14:schemeClr w14:val="tx1"/>
                  </w14:solidFill>
                </w14:textFill>
              </w:rPr>
              <w:t>گلودرد</w:t>
            </w:r>
            <w:r>
              <w:rPr>
                <w:rFonts w:hint="default" w:ascii="Arial" w:hAnsi="Arial" w:cs="Arial"/>
                <w:b/>
                <w:bCs/>
                <w:color w:val="000000" w:themeColor="text1"/>
                <w:lang w:bidi="fa-IR"/>
                <w14:textFill>
                  <w14:solidFill>
                    <w14:schemeClr w14:val="tx1"/>
                  </w14:solidFill>
                </w14:textFill>
              </w:rPr>
              <w:t xml:space="preserve"> (sorethroat)</w:t>
            </w:r>
          </w:p>
        </w:tc>
        <w:tc>
          <w:tcPr>
            <w:tcW w:w="1522" w:type="dxa"/>
            <w:shd w:val="clear" w:color="auto" w:fill="CCCCCC" w:themeFill="text1" w:themeFillTint="33"/>
            <w:vAlign w:val="center"/>
          </w:tcPr>
          <w:p w14:paraId="72556357">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lang w:bidi="fa-IR"/>
                <w14:textFill>
                  <w14:solidFill>
                    <w14:schemeClr w14:val="tx1"/>
                  </w14:solidFill>
                </w14:textFill>
              </w:rPr>
              <w:t>-</w:t>
            </w:r>
            <w:r>
              <w:rPr>
                <w:rFonts w:hint="default" w:ascii="Arial" w:hAnsi="Arial" w:cs="Arial"/>
                <w:color w:val="000000" w:themeColor="text1"/>
                <w:rtl/>
                <w:lang w:bidi="fa-IR"/>
                <w14:textFill>
                  <w14:solidFill>
                    <w14:schemeClr w14:val="tx1"/>
                  </w14:solidFill>
                </w14:textFill>
              </w:rPr>
              <w:t>۰.۱۲۶</w:t>
            </w:r>
          </w:p>
        </w:tc>
        <w:tc>
          <w:tcPr>
            <w:tcW w:w="1522" w:type="dxa"/>
            <w:shd w:val="clear" w:color="auto" w:fill="CCCCCC" w:themeFill="text1" w:themeFillTint="33"/>
            <w:vAlign w:val="center"/>
          </w:tcPr>
          <w:p w14:paraId="23C09755">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۱.۸۴۸</w:t>
            </w:r>
          </w:p>
        </w:tc>
        <w:tc>
          <w:tcPr>
            <w:tcW w:w="1522" w:type="dxa"/>
            <w:shd w:val="clear" w:color="auto" w:fill="CCCCCC" w:themeFill="text1" w:themeFillTint="33"/>
            <w:vAlign w:val="center"/>
          </w:tcPr>
          <w:p w14:paraId="38FF00DD">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-۰.۰۰۶</w:t>
            </w:r>
          </w:p>
        </w:tc>
        <w:tc>
          <w:tcPr>
            <w:tcW w:w="1446" w:type="dxa"/>
            <w:shd w:val="clear" w:color="auto" w:fill="CCCCCC" w:themeFill="text1" w:themeFillTint="33"/>
            <w:vAlign w:val="center"/>
          </w:tcPr>
          <w:p w14:paraId="0A9E7ED4">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-۰.۰۶۸</w:t>
            </w:r>
          </w:p>
        </w:tc>
        <w:tc>
          <w:tcPr>
            <w:tcW w:w="1513" w:type="dxa"/>
            <w:shd w:val="clear" w:color="auto" w:fill="CCCCCC" w:themeFill="text1" w:themeFillTint="33"/>
            <w:vAlign w:val="center"/>
          </w:tcPr>
          <w:p w14:paraId="2C468848">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۰.۹۴۶</w:t>
            </w:r>
          </w:p>
        </w:tc>
      </w:tr>
      <w:tr w14:paraId="4D5A88E9">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right"/>
        </w:trPr>
        <w:tc>
          <w:tcPr>
            <w:tcW w:w="2408" w:type="dxa"/>
            <w:vAlign w:val="center"/>
          </w:tcPr>
          <w:p w14:paraId="09435EE7">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lang w:bidi="fa-IR"/>
                <w14:textFill>
                  <w14:solidFill>
                    <w14:schemeClr w14:val="tx1"/>
                  </w14:solidFill>
                </w14:textFill>
              </w:rPr>
            </w:pPr>
            <w:r>
              <w:rPr>
                <w:rFonts w:hint="default" w:ascii="Arial" w:hAnsi="Arial" w:cs="Arial"/>
                <w:b/>
                <w:bCs/>
                <w:color w:val="000000" w:themeColor="text1"/>
                <w:rtl/>
                <w:lang w:bidi="fa-IR"/>
                <w14:textFill>
                  <w14:solidFill>
                    <w14:schemeClr w14:val="tx1"/>
                  </w14:solidFill>
                </w14:textFill>
              </w:rPr>
              <w:t>عطسه</w:t>
            </w:r>
            <w:r>
              <w:rPr>
                <w:rFonts w:hint="default" w:ascii="Arial" w:hAnsi="Arial" w:cs="Arial"/>
                <w:b/>
                <w:bCs/>
                <w:color w:val="000000" w:themeColor="text1"/>
                <w:lang w:bidi="fa-IR"/>
                <w14:textFill>
                  <w14:solidFill>
                    <w14:schemeClr w14:val="tx1"/>
                  </w14:solidFill>
                </w14:textFill>
              </w:rPr>
              <w:t xml:space="preserve"> (sneezing)</w:t>
            </w:r>
          </w:p>
        </w:tc>
        <w:tc>
          <w:tcPr>
            <w:tcW w:w="1522" w:type="dxa"/>
            <w:vAlign w:val="center"/>
          </w:tcPr>
          <w:p w14:paraId="67997146">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۱.۹۸۰</w:t>
            </w:r>
          </w:p>
        </w:tc>
        <w:tc>
          <w:tcPr>
            <w:tcW w:w="1522" w:type="dxa"/>
            <w:vAlign w:val="center"/>
          </w:tcPr>
          <w:p w14:paraId="264F8281">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۵.۶۱۹</w:t>
            </w:r>
          </w:p>
        </w:tc>
        <w:tc>
          <w:tcPr>
            <w:tcW w:w="1522" w:type="dxa"/>
            <w:vAlign w:val="center"/>
          </w:tcPr>
          <w:p w14:paraId="4830E55E">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۰.۰۳۴</w:t>
            </w:r>
          </w:p>
        </w:tc>
        <w:tc>
          <w:tcPr>
            <w:tcW w:w="1446" w:type="dxa"/>
            <w:vAlign w:val="center"/>
          </w:tcPr>
          <w:p w14:paraId="57441423">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۰.۳۵۲</w:t>
            </w:r>
          </w:p>
        </w:tc>
        <w:tc>
          <w:tcPr>
            <w:tcW w:w="1513" w:type="dxa"/>
            <w:vAlign w:val="center"/>
          </w:tcPr>
          <w:p w14:paraId="3DC161E7">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۰.۷۲۵</w:t>
            </w:r>
          </w:p>
        </w:tc>
      </w:tr>
      <w:tr w14:paraId="24E3FE45">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right"/>
        </w:trPr>
        <w:tc>
          <w:tcPr>
            <w:tcW w:w="2408" w:type="dxa"/>
            <w:shd w:val="clear" w:color="auto" w:fill="CCCCCC" w:themeFill="text1" w:themeFillTint="33"/>
            <w:vAlign w:val="center"/>
          </w:tcPr>
          <w:p w14:paraId="7C8BB3AC">
            <w:pPr>
              <w:keepNext w:val="0"/>
              <w:keepLines w:val="0"/>
              <w:widowControl/>
              <w:suppressLineNumbers w:val="0"/>
              <w:bidi/>
              <w:spacing w:before="0" w:beforeAutospacing="0" w:after="0" w:afterAutospacing="0" w:line="360" w:lineRule="auto"/>
              <w:ind w:left="0" w:right="0"/>
              <w:jc w:val="center"/>
              <w:rPr>
                <w:rFonts w:hint="default" w:ascii="Arial" w:hAnsi="Arial" w:cs="Arial"/>
                <w:b/>
                <w:bCs/>
                <w:color w:val="000000" w:themeColor="text1"/>
                <w:lang w:bidi="fa-IR"/>
                <w14:textFill>
                  <w14:solidFill>
                    <w14:schemeClr w14:val="tx1"/>
                  </w14:solidFill>
                </w14:textFill>
              </w:rPr>
            </w:pPr>
            <w:r>
              <w:rPr>
                <w:rFonts w:hint="default" w:ascii="Arial" w:hAnsi="Arial" w:cs="Arial"/>
                <w:b/>
                <w:bCs/>
                <w:color w:val="000000" w:themeColor="text1"/>
                <w:rtl/>
                <w:lang w:bidi="fa-IR"/>
                <w14:textFill>
                  <w14:solidFill>
                    <w14:schemeClr w14:val="tx1"/>
                  </w14:solidFill>
                </w14:textFill>
              </w:rPr>
              <w:t>وزوز گوش</w:t>
            </w:r>
            <w:r>
              <w:rPr>
                <w:rFonts w:hint="default" w:ascii="Arial" w:hAnsi="Arial" w:cs="Arial"/>
                <w:b/>
                <w:bCs/>
                <w:color w:val="000000" w:themeColor="text1"/>
                <w:lang w:bidi="fa-IR"/>
                <w14:textFill>
                  <w14:solidFill>
                    <w14:schemeClr w14:val="tx1"/>
                  </w14:solidFill>
                </w14:textFill>
              </w:rPr>
              <w:t xml:space="preserve"> (tinnitus)</w:t>
            </w:r>
          </w:p>
        </w:tc>
        <w:tc>
          <w:tcPr>
            <w:tcW w:w="1522" w:type="dxa"/>
            <w:shd w:val="clear" w:color="auto" w:fill="CCCCCC" w:themeFill="text1" w:themeFillTint="33"/>
            <w:vAlign w:val="center"/>
          </w:tcPr>
          <w:p w14:paraId="41769DEB">
            <w:pPr>
              <w:keepNext w:val="0"/>
              <w:keepLines w:val="0"/>
              <w:widowControl/>
              <w:suppressLineNumbers w:val="0"/>
              <w:bidi/>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lang w:bidi="fa-IR"/>
                <w14:textFill>
                  <w14:solidFill>
                    <w14:schemeClr w14:val="tx1"/>
                  </w14:solidFill>
                </w14:textFill>
              </w:rPr>
              <w:t>-</w:t>
            </w:r>
            <w:r>
              <w:rPr>
                <w:rFonts w:hint="default" w:ascii="Arial" w:hAnsi="Arial" w:cs="Arial"/>
                <w:color w:val="000000" w:themeColor="text1"/>
                <w:rtl/>
                <w:lang w:bidi="fa-IR"/>
                <w14:textFill>
                  <w14:solidFill>
                    <w14:schemeClr w14:val="tx1"/>
                  </w14:solidFill>
                </w14:textFill>
              </w:rPr>
              <w:t>۱.۲۸۶</w:t>
            </w:r>
          </w:p>
        </w:tc>
        <w:tc>
          <w:tcPr>
            <w:tcW w:w="1522" w:type="dxa"/>
            <w:shd w:val="clear" w:color="auto" w:fill="CCCCCC" w:themeFill="text1" w:themeFillTint="33"/>
            <w:vAlign w:val="center"/>
          </w:tcPr>
          <w:p w14:paraId="6C94D672">
            <w:pPr>
              <w:keepNext w:val="0"/>
              <w:keepLines w:val="0"/>
              <w:widowControl/>
              <w:suppressLineNumbers w:val="0"/>
              <w:bidi/>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۲.۸۳۷</w:t>
            </w:r>
          </w:p>
        </w:tc>
        <w:tc>
          <w:tcPr>
            <w:tcW w:w="1522" w:type="dxa"/>
            <w:shd w:val="clear" w:color="auto" w:fill="CCCCCC" w:themeFill="text1" w:themeFillTint="33"/>
            <w:vAlign w:val="center"/>
          </w:tcPr>
          <w:p w14:paraId="1686983F">
            <w:pPr>
              <w:keepNext w:val="0"/>
              <w:keepLines w:val="0"/>
              <w:widowControl/>
              <w:suppressLineNumbers w:val="0"/>
              <w:bidi/>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-۰.۰۳۷</w:t>
            </w:r>
          </w:p>
        </w:tc>
        <w:tc>
          <w:tcPr>
            <w:tcW w:w="1446" w:type="dxa"/>
            <w:shd w:val="clear" w:color="auto" w:fill="CCCCCC" w:themeFill="text1" w:themeFillTint="33"/>
            <w:vAlign w:val="center"/>
          </w:tcPr>
          <w:p w14:paraId="32ED2CCF">
            <w:pPr>
              <w:keepNext w:val="0"/>
              <w:keepLines w:val="0"/>
              <w:widowControl/>
              <w:suppressLineNumbers w:val="0"/>
              <w:bidi/>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-۰.۴۵۳</w:t>
            </w:r>
          </w:p>
        </w:tc>
        <w:tc>
          <w:tcPr>
            <w:tcW w:w="1513" w:type="dxa"/>
            <w:shd w:val="clear" w:color="auto" w:fill="CCCCCC" w:themeFill="text1" w:themeFillTint="33"/>
            <w:vAlign w:val="center"/>
          </w:tcPr>
          <w:p w14:paraId="0BFF72F7">
            <w:pPr>
              <w:keepNext w:val="0"/>
              <w:keepLines w:val="0"/>
              <w:widowControl/>
              <w:suppressLineNumbers w:val="0"/>
              <w:bidi/>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۰.۶۵۱</w:t>
            </w:r>
          </w:p>
        </w:tc>
      </w:tr>
    </w:tbl>
    <w:p w14:paraId="078A18E1">
      <w:pPr>
        <w:bidi/>
        <w:spacing w:line="360" w:lineRule="auto"/>
        <w:jc w:val="both"/>
        <w:rPr>
          <w:rFonts w:hint="default" w:ascii="Arial" w:hAnsi="Arial" w:cs="Arial"/>
          <w:sz w:val="28"/>
          <w:szCs w:val="28"/>
          <w:rtl/>
          <w:lang w:bidi="fa-IR"/>
        </w:rPr>
      </w:pPr>
    </w:p>
    <w:p w14:paraId="69499C9E">
      <w:pPr>
        <w:bidi/>
        <w:spacing w:line="360" w:lineRule="auto"/>
        <w:jc w:val="both"/>
        <w:rPr>
          <w:rFonts w:hint="default" w:ascii="Arial" w:hAnsi="Arial" w:cs="Arial"/>
          <w:sz w:val="28"/>
          <w:szCs w:val="28"/>
          <w:rtl/>
          <w:lang w:bidi="fa-IR"/>
        </w:rPr>
      </w:pPr>
      <w:r>
        <w:rPr>
          <w:rFonts w:hint="default" w:ascii="Arial" w:hAnsi="Arial" w:cs="Arial"/>
          <w:sz w:val="28"/>
          <w:szCs w:val="28"/>
          <w:rtl/>
          <w:lang w:bidi="fa-IR"/>
        </w:rPr>
        <w:t xml:space="preserve">بررسی ارتباط بین شدت بیماری و مدت زمان بستری در بیمارستان نیز صورت گرفت. بر اساس تحلیل </w:t>
      </w:r>
      <w:r>
        <w:rPr>
          <w:rFonts w:hint="default" w:ascii="Arial" w:hAnsi="Arial" w:cs="Arial"/>
          <w:sz w:val="28"/>
          <w:szCs w:val="28"/>
          <w:lang w:bidi="fa-IR"/>
        </w:rPr>
        <w:t>ANOVA</w:t>
      </w:r>
      <w:r>
        <w:rPr>
          <w:rFonts w:hint="default" w:ascii="Arial" w:hAnsi="Arial" w:cs="Arial"/>
          <w:sz w:val="28"/>
          <w:szCs w:val="28"/>
          <w:rtl/>
          <w:lang w:bidi="fa-IR"/>
        </w:rPr>
        <w:t xml:space="preserve"> دیده شد که شدت بیماری تأثیر معناداری بر مدت زمان بستری بیماران در بیمارستان دارد (</w:t>
      </w:r>
      <w:r>
        <w:rPr>
          <w:rFonts w:hint="default" w:ascii="Arial" w:hAnsi="Arial" w:cs="Arial"/>
          <w:sz w:val="28"/>
          <w:szCs w:val="28"/>
          <w:lang w:bidi="fa-IR"/>
        </w:rPr>
        <w:t>Sig = 0.014</w:t>
      </w:r>
      <w:r>
        <w:rPr>
          <w:rFonts w:hint="default" w:ascii="Arial" w:hAnsi="Arial" w:cs="Arial"/>
          <w:sz w:val="28"/>
          <w:szCs w:val="28"/>
          <w:rtl/>
          <w:lang w:bidi="fa-IR"/>
        </w:rPr>
        <w:t>).</w:t>
      </w:r>
      <w:r>
        <w:rPr>
          <w:rFonts w:hint="default" w:ascii="Arial" w:hAnsi="Arial" w:cs="Arial"/>
          <w:sz w:val="28"/>
          <w:szCs w:val="28"/>
          <w:lang w:bidi="fa-IR"/>
        </w:rPr>
        <w:t xml:space="preserve"> </w:t>
      </w:r>
      <w:r>
        <w:rPr>
          <w:rFonts w:hint="default" w:ascii="Arial" w:hAnsi="Arial" w:cs="Arial"/>
          <w:sz w:val="28"/>
          <w:szCs w:val="28"/>
          <w:rtl/>
          <w:lang w:bidi="fa-IR"/>
        </w:rPr>
        <w:t xml:space="preserve">مقدار </w:t>
      </w:r>
      <w:r>
        <w:rPr>
          <w:rFonts w:hint="default" w:ascii="Arial" w:hAnsi="Arial" w:cs="Arial"/>
          <w:sz w:val="28"/>
          <w:szCs w:val="28"/>
          <w:lang w:bidi="fa-IR"/>
        </w:rPr>
        <w:t>F</w:t>
      </w:r>
      <w:r>
        <w:rPr>
          <w:rFonts w:hint="default" w:ascii="Arial" w:hAnsi="Arial" w:cs="Arial"/>
          <w:sz w:val="28"/>
          <w:szCs w:val="28"/>
          <w:rtl/>
          <w:lang w:bidi="fa-IR"/>
        </w:rPr>
        <w:t xml:space="preserve"> برابر ۱٫۸۷۰ است که نشان می‌دهد تفاوت‌های بین گروه‌های مختلف شدت بیماری از نظر مدت زمان بستری معنادار است به نحوی که با افزایش شدت بیماری مدت زمان بستری افزایش پیدا کرده است (جدول 4). </w:t>
      </w:r>
    </w:p>
    <w:p w14:paraId="25D9B7E0">
      <w:pPr>
        <w:bidi/>
        <w:spacing w:line="360" w:lineRule="auto"/>
        <w:jc w:val="both"/>
        <w:rPr>
          <w:rFonts w:hint="default" w:ascii="Arial" w:hAnsi="Arial" w:cs="Arial"/>
          <w:b/>
          <w:bCs/>
          <w:sz w:val="28"/>
          <w:szCs w:val="28"/>
          <w:rtl/>
          <w:lang w:bidi="fa-IR"/>
        </w:rPr>
      </w:pPr>
      <w:r>
        <w:rPr>
          <w:rFonts w:hint="default" w:ascii="Arial" w:hAnsi="Arial" w:cs="Arial"/>
          <w:b/>
          <w:bCs/>
          <w:sz w:val="28"/>
          <w:szCs w:val="28"/>
          <w:rtl/>
          <w:lang w:bidi="fa-IR"/>
        </w:rPr>
        <w:t xml:space="preserve">جدول4. بررسی ارتباط بین شدت بیماری و مدت زمان بستری در بیمارستان بر اساس تست </w:t>
      </w:r>
      <w:r>
        <w:rPr>
          <w:rFonts w:hint="default" w:ascii="Arial" w:hAnsi="Arial" w:cs="Arial"/>
          <w:b/>
          <w:bCs/>
          <w:sz w:val="28"/>
          <w:szCs w:val="28"/>
          <w:lang w:bidi="fa-IR"/>
        </w:rPr>
        <w:t>ANOVA</w:t>
      </w:r>
    </w:p>
    <w:tbl>
      <w:tblPr>
        <w:tblStyle w:val="15"/>
        <w:bidiVisual/>
        <w:tblW w:w="0" w:type="auto"/>
        <w:tblInd w:w="394" w:type="dxa"/>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30"/>
        <w:gridCol w:w="1530"/>
        <w:gridCol w:w="1530"/>
        <w:gridCol w:w="1530"/>
        <w:gridCol w:w="1531"/>
        <w:gridCol w:w="1531"/>
      </w:tblGrid>
      <w:tr w14:paraId="6F10713C">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30" w:type="dxa"/>
            <w:tcBorders>
              <w:bottom w:val="single" w:color="000000" w:themeColor="text1" w:sz="4" w:space="0"/>
              <w:insideH w:val="single" w:sz="4" w:space="0"/>
            </w:tcBorders>
            <w:vAlign w:val="center"/>
          </w:tcPr>
          <w:p w14:paraId="6FB9E65C">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lang w:bidi="fa-IR"/>
                <w14:textFill>
                  <w14:solidFill>
                    <w14:schemeClr w14:val="tx1"/>
                  </w14:solidFill>
                </w14:textFill>
              </w:rPr>
            </w:pPr>
            <w:r>
              <w:rPr>
                <w:rFonts w:hint="default" w:ascii="Arial" w:hAnsi="Arial" w:cs="Arial"/>
                <w:b/>
                <w:bCs/>
                <w:color w:val="000000" w:themeColor="text1"/>
                <w:rtl/>
                <w:lang w:bidi="fa-IR"/>
                <w14:textFill>
                  <w14:solidFill>
                    <w14:schemeClr w14:val="tx1"/>
                  </w14:solidFill>
                </w14:textFill>
              </w:rPr>
              <w:t>منبع تغییرات</w:t>
            </w:r>
          </w:p>
        </w:tc>
        <w:tc>
          <w:tcPr>
            <w:tcW w:w="1530" w:type="dxa"/>
            <w:tcBorders>
              <w:bottom w:val="single" w:color="000000" w:themeColor="text1" w:sz="4" w:space="0"/>
              <w:insideH w:val="single" w:sz="4" w:space="0"/>
            </w:tcBorders>
            <w:vAlign w:val="center"/>
          </w:tcPr>
          <w:p w14:paraId="79A776E6">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lang w:bidi="fa-IR"/>
                <w14:textFill>
                  <w14:solidFill>
                    <w14:schemeClr w14:val="tx1"/>
                  </w14:solidFill>
                </w14:textFill>
              </w:rPr>
            </w:pPr>
            <w:r>
              <w:rPr>
                <w:rFonts w:hint="default" w:ascii="Arial" w:hAnsi="Arial" w:cs="Arial"/>
                <w:b/>
                <w:bCs/>
                <w:color w:val="000000" w:themeColor="text1"/>
                <w:rtl/>
                <w:lang w:bidi="fa-IR"/>
                <w14:textFill>
                  <w14:solidFill>
                    <w14:schemeClr w14:val="tx1"/>
                  </w14:solidFill>
                </w14:textFill>
              </w:rPr>
              <w:t>مجموع مجذورات</w:t>
            </w:r>
            <w:r>
              <w:rPr>
                <w:rFonts w:hint="default" w:ascii="Arial" w:hAnsi="Arial" w:cs="Arial"/>
                <w:b/>
                <w:bCs/>
                <w:color w:val="000000" w:themeColor="text1"/>
                <w:lang w:bidi="fa-IR"/>
                <w14:textFill>
                  <w14:solidFill>
                    <w14:schemeClr w14:val="tx1"/>
                  </w14:solidFill>
                </w14:textFill>
              </w:rPr>
              <w:t xml:space="preserve"> (Sum of Squares)</w:t>
            </w:r>
          </w:p>
        </w:tc>
        <w:tc>
          <w:tcPr>
            <w:tcW w:w="1530" w:type="dxa"/>
            <w:tcBorders>
              <w:bottom w:val="single" w:color="000000" w:themeColor="text1" w:sz="4" w:space="0"/>
              <w:insideH w:val="single" w:sz="4" w:space="0"/>
            </w:tcBorders>
            <w:vAlign w:val="center"/>
          </w:tcPr>
          <w:p w14:paraId="17624083">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lang w:bidi="fa-IR"/>
                <w14:textFill>
                  <w14:solidFill>
                    <w14:schemeClr w14:val="tx1"/>
                  </w14:solidFill>
                </w14:textFill>
              </w:rPr>
            </w:pPr>
            <w:r>
              <w:rPr>
                <w:rFonts w:hint="default" w:ascii="Arial" w:hAnsi="Arial" w:cs="Arial"/>
                <w:b/>
                <w:bCs/>
                <w:color w:val="000000" w:themeColor="text1"/>
                <w:rtl/>
                <w:lang w:bidi="fa-IR"/>
                <w14:textFill>
                  <w14:solidFill>
                    <w14:schemeClr w14:val="tx1"/>
                  </w14:solidFill>
                </w14:textFill>
              </w:rPr>
              <w:t>درجه آزادی</w:t>
            </w:r>
            <w:r>
              <w:rPr>
                <w:rFonts w:hint="default" w:ascii="Arial" w:hAnsi="Arial" w:cs="Arial"/>
                <w:b/>
                <w:bCs/>
                <w:color w:val="000000" w:themeColor="text1"/>
                <w:lang w:bidi="fa-IR"/>
                <w14:textFill>
                  <w14:solidFill>
                    <w14:schemeClr w14:val="tx1"/>
                  </w14:solidFill>
                </w14:textFill>
              </w:rPr>
              <w:t xml:space="preserve"> (df)</w:t>
            </w:r>
          </w:p>
        </w:tc>
        <w:tc>
          <w:tcPr>
            <w:tcW w:w="1530" w:type="dxa"/>
            <w:tcBorders>
              <w:bottom w:val="single" w:color="000000" w:themeColor="text1" w:sz="4" w:space="0"/>
              <w:insideH w:val="single" w:sz="4" w:space="0"/>
            </w:tcBorders>
            <w:vAlign w:val="center"/>
          </w:tcPr>
          <w:p w14:paraId="1844D1A4">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lang w:bidi="fa-IR"/>
                <w14:textFill>
                  <w14:solidFill>
                    <w14:schemeClr w14:val="tx1"/>
                  </w14:solidFill>
                </w14:textFill>
              </w:rPr>
            </w:pPr>
            <w:r>
              <w:rPr>
                <w:rFonts w:hint="default" w:ascii="Arial" w:hAnsi="Arial" w:cs="Arial"/>
                <w:b/>
                <w:bCs/>
                <w:color w:val="000000" w:themeColor="text1"/>
                <w:rtl/>
                <w:lang w:bidi="fa-IR"/>
                <w14:textFill>
                  <w14:solidFill>
                    <w14:schemeClr w14:val="tx1"/>
                  </w14:solidFill>
                </w14:textFill>
              </w:rPr>
              <w:t>میانگین مجذورات</w:t>
            </w:r>
            <w:r>
              <w:rPr>
                <w:rFonts w:hint="default" w:ascii="Arial" w:hAnsi="Arial" w:cs="Arial"/>
                <w:b/>
                <w:bCs/>
                <w:color w:val="000000" w:themeColor="text1"/>
                <w:lang w:bidi="fa-IR"/>
                <w14:textFill>
                  <w14:solidFill>
                    <w14:schemeClr w14:val="tx1"/>
                  </w14:solidFill>
                </w14:textFill>
              </w:rPr>
              <w:t xml:space="preserve"> (Mean Square)</w:t>
            </w:r>
          </w:p>
        </w:tc>
        <w:tc>
          <w:tcPr>
            <w:tcW w:w="1531" w:type="dxa"/>
            <w:tcBorders>
              <w:bottom w:val="single" w:color="000000" w:themeColor="text1" w:sz="4" w:space="0"/>
              <w:insideH w:val="single" w:sz="4" w:space="0"/>
            </w:tcBorders>
            <w:vAlign w:val="center"/>
          </w:tcPr>
          <w:p w14:paraId="2D893743">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lang w:bidi="fa-IR"/>
                <w14:textFill>
                  <w14:solidFill>
                    <w14:schemeClr w14:val="tx1"/>
                  </w14:solidFill>
                </w14:textFill>
              </w:rPr>
            </w:pPr>
            <w:r>
              <w:rPr>
                <w:rFonts w:hint="default" w:ascii="Arial" w:hAnsi="Arial" w:cs="Arial"/>
                <w:b/>
                <w:bCs/>
                <w:color w:val="000000" w:themeColor="text1"/>
                <w:rtl/>
                <w:lang w:bidi="fa-IR"/>
                <w14:textFill>
                  <w14:solidFill>
                    <w14:schemeClr w14:val="tx1"/>
                  </w14:solidFill>
                </w14:textFill>
              </w:rPr>
              <w:t>مقدار</w:t>
            </w:r>
            <w:r>
              <w:rPr>
                <w:rFonts w:hint="default" w:ascii="Arial" w:hAnsi="Arial" w:cs="Arial"/>
                <w:b/>
                <w:bCs/>
                <w:color w:val="000000" w:themeColor="text1"/>
                <w:lang w:bidi="fa-IR"/>
                <w14:textFill>
                  <w14:solidFill>
                    <w14:schemeClr w14:val="tx1"/>
                  </w14:solidFill>
                </w14:textFill>
              </w:rPr>
              <w:t xml:space="preserve"> F</w:t>
            </w:r>
          </w:p>
        </w:tc>
        <w:tc>
          <w:tcPr>
            <w:tcW w:w="1531" w:type="dxa"/>
            <w:tcBorders>
              <w:bottom w:val="single" w:color="000000" w:themeColor="text1" w:sz="4" w:space="0"/>
              <w:insideH w:val="single" w:sz="4" w:space="0"/>
            </w:tcBorders>
            <w:vAlign w:val="center"/>
          </w:tcPr>
          <w:p w14:paraId="57B8993A">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lang w:bidi="fa-IR"/>
                <w14:textFill>
                  <w14:solidFill>
                    <w14:schemeClr w14:val="tx1"/>
                  </w14:solidFill>
                </w14:textFill>
              </w:rPr>
            </w:pPr>
            <w:r>
              <w:rPr>
                <w:rFonts w:hint="default" w:ascii="Arial" w:hAnsi="Arial" w:cs="Arial"/>
                <w:b/>
                <w:bCs/>
                <w:color w:val="000000" w:themeColor="text1"/>
                <w:rtl/>
                <w:lang w:bidi="fa-IR"/>
                <w14:textFill>
                  <w14:solidFill>
                    <w14:schemeClr w14:val="tx1"/>
                  </w14:solidFill>
                </w14:textFill>
              </w:rPr>
              <w:t>سطح معناداری</w:t>
            </w:r>
            <w:r>
              <w:rPr>
                <w:rFonts w:hint="default" w:ascii="Arial" w:hAnsi="Arial" w:cs="Arial"/>
                <w:b/>
                <w:bCs/>
                <w:color w:val="000000" w:themeColor="text1"/>
                <w:lang w:bidi="fa-IR"/>
                <w14:textFill>
                  <w14:solidFill>
                    <w14:schemeClr w14:val="tx1"/>
                  </w14:solidFill>
                </w14:textFill>
              </w:rPr>
              <w:t xml:space="preserve"> (Sig.)</w:t>
            </w:r>
          </w:p>
        </w:tc>
      </w:tr>
      <w:tr w14:paraId="6C209876">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30" w:type="dxa"/>
            <w:shd w:val="clear" w:color="auto" w:fill="CCCCCC" w:themeFill="text1" w:themeFillTint="33"/>
            <w:vAlign w:val="center"/>
          </w:tcPr>
          <w:p w14:paraId="2B16FF6C">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lang w:bidi="fa-IR"/>
                <w14:textFill>
                  <w14:solidFill>
                    <w14:schemeClr w14:val="tx1"/>
                  </w14:solidFill>
                </w14:textFill>
              </w:rPr>
            </w:pPr>
            <w:r>
              <w:rPr>
                <w:rFonts w:hint="default" w:ascii="Arial" w:hAnsi="Arial" w:cs="Arial"/>
                <w:b/>
                <w:bCs/>
                <w:color w:val="000000" w:themeColor="text1"/>
                <w:rtl/>
                <w:lang w:bidi="fa-IR"/>
                <w14:textFill>
                  <w14:solidFill>
                    <w14:schemeClr w14:val="tx1"/>
                  </w14:solidFill>
                </w14:textFill>
              </w:rPr>
              <w:t>بین گروه‌ها</w:t>
            </w:r>
          </w:p>
        </w:tc>
        <w:tc>
          <w:tcPr>
            <w:tcW w:w="1530" w:type="dxa"/>
            <w:shd w:val="clear" w:color="auto" w:fill="CCCCCC" w:themeFill="text1" w:themeFillTint="33"/>
            <w:vAlign w:val="center"/>
          </w:tcPr>
          <w:p w14:paraId="68467A88">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۲۹٫۴۴۱</w:t>
            </w:r>
          </w:p>
        </w:tc>
        <w:tc>
          <w:tcPr>
            <w:tcW w:w="1530" w:type="dxa"/>
            <w:shd w:val="clear" w:color="auto" w:fill="CCCCCC" w:themeFill="text1" w:themeFillTint="33"/>
            <w:vAlign w:val="center"/>
          </w:tcPr>
          <w:p w14:paraId="0D6FC178">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۲۲</w:t>
            </w:r>
          </w:p>
        </w:tc>
        <w:tc>
          <w:tcPr>
            <w:tcW w:w="1530" w:type="dxa"/>
            <w:shd w:val="clear" w:color="auto" w:fill="CCCCCC" w:themeFill="text1" w:themeFillTint="33"/>
            <w:vAlign w:val="center"/>
          </w:tcPr>
          <w:p w14:paraId="2EFAE9F3">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۱٫۳۳۸</w:t>
            </w:r>
          </w:p>
        </w:tc>
        <w:tc>
          <w:tcPr>
            <w:tcW w:w="1531" w:type="dxa"/>
            <w:shd w:val="clear" w:color="auto" w:fill="CCCCCC" w:themeFill="text1" w:themeFillTint="33"/>
            <w:vAlign w:val="center"/>
          </w:tcPr>
          <w:p w14:paraId="6FE30EF4">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۱٫۸۷۰</w:t>
            </w:r>
          </w:p>
        </w:tc>
        <w:tc>
          <w:tcPr>
            <w:tcW w:w="1531" w:type="dxa"/>
            <w:shd w:val="clear" w:color="auto" w:fill="CCCCCC" w:themeFill="text1" w:themeFillTint="33"/>
            <w:vAlign w:val="center"/>
          </w:tcPr>
          <w:p w14:paraId="5FC637BF">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۰٫۰۱۴</w:t>
            </w:r>
          </w:p>
        </w:tc>
      </w:tr>
      <w:tr w14:paraId="544D31BE">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30" w:type="dxa"/>
            <w:vAlign w:val="center"/>
          </w:tcPr>
          <w:p w14:paraId="6C1FA228">
            <w:pPr>
              <w:keepNext w:val="0"/>
              <w:keepLines w:val="0"/>
              <w:widowControl/>
              <w:suppressLineNumbers w:val="0"/>
              <w:spacing w:before="0" w:beforeAutospacing="0" w:after="0" w:afterAutospacing="0" w:line="360" w:lineRule="auto"/>
              <w:ind w:left="0" w:right="0"/>
              <w:jc w:val="center"/>
              <w:rPr>
                <w:rFonts w:hint="default" w:ascii="Arial" w:hAnsi="Arial" w:cs="Arial"/>
                <w:b/>
                <w:bCs/>
                <w:color w:val="000000" w:themeColor="text1"/>
                <w:lang w:bidi="fa-IR"/>
                <w14:textFill>
                  <w14:solidFill>
                    <w14:schemeClr w14:val="tx1"/>
                  </w14:solidFill>
                </w14:textFill>
              </w:rPr>
            </w:pPr>
            <w:r>
              <w:rPr>
                <w:rFonts w:hint="default" w:ascii="Arial" w:hAnsi="Arial" w:cs="Arial"/>
                <w:b/>
                <w:bCs/>
                <w:color w:val="000000" w:themeColor="text1"/>
                <w:rtl/>
                <w:lang w:bidi="fa-IR"/>
                <w14:textFill>
                  <w14:solidFill>
                    <w14:schemeClr w14:val="tx1"/>
                  </w14:solidFill>
                </w14:textFill>
              </w:rPr>
              <w:t>درون گروه‌ها</w:t>
            </w:r>
          </w:p>
        </w:tc>
        <w:tc>
          <w:tcPr>
            <w:tcW w:w="1530" w:type="dxa"/>
            <w:vAlign w:val="center"/>
          </w:tcPr>
          <w:p w14:paraId="0A4F7744">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۱۲۳٫۸۰۴</w:t>
            </w:r>
          </w:p>
        </w:tc>
        <w:tc>
          <w:tcPr>
            <w:tcW w:w="1530" w:type="dxa"/>
            <w:vAlign w:val="center"/>
          </w:tcPr>
          <w:p w14:paraId="162809D9">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۱۷۳</w:t>
            </w:r>
          </w:p>
        </w:tc>
        <w:tc>
          <w:tcPr>
            <w:tcW w:w="1530" w:type="dxa"/>
            <w:vAlign w:val="center"/>
          </w:tcPr>
          <w:p w14:paraId="2ED83270">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۰٫۷۱۶</w:t>
            </w:r>
          </w:p>
        </w:tc>
        <w:tc>
          <w:tcPr>
            <w:tcW w:w="1531" w:type="dxa"/>
            <w:vAlign w:val="center"/>
          </w:tcPr>
          <w:p w14:paraId="098D0679">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p>
        </w:tc>
        <w:tc>
          <w:tcPr>
            <w:tcW w:w="1531" w:type="dxa"/>
            <w:vAlign w:val="center"/>
          </w:tcPr>
          <w:p w14:paraId="26113827">
            <w:pPr>
              <w:keepNext w:val="0"/>
              <w:keepLines w:val="0"/>
              <w:widowControl/>
              <w:suppressLineNumbers w:val="0"/>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p>
        </w:tc>
      </w:tr>
      <w:tr w14:paraId="3B21DD2E">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30" w:type="dxa"/>
            <w:shd w:val="clear" w:color="auto" w:fill="CCCCCC" w:themeFill="text1" w:themeFillTint="33"/>
            <w:vAlign w:val="center"/>
          </w:tcPr>
          <w:p w14:paraId="3279019A">
            <w:pPr>
              <w:keepNext w:val="0"/>
              <w:keepLines w:val="0"/>
              <w:widowControl/>
              <w:suppressLineNumbers w:val="0"/>
              <w:bidi/>
              <w:spacing w:before="0" w:beforeAutospacing="0" w:after="0" w:afterAutospacing="0" w:line="360" w:lineRule="auto"/>
              <w:ind w:left="0" w:right="0"/>
              <w:jc w:val="center"/>
              <w:rPr>
                <w:rFonts w:hint="default" w:ascii="Arial" w:hAnsi="Arial" w:cs="Arial"/>
                <w:b/>
                <w:bCs/>
                <w:color w:val="000000" w:themeColor="text1"/>
                <w:lang w:bidi="fa-IR"/>
                <w14:textFill>
                  <w14:solidFill>
                    <w14:schemeClr w14:val="tx1"/>
                  </w14:solidFill>
                </w14:textFill>
              </w:rPr>
            </w:pPr>
            <w:r>
              <w:rPr>
                <w:rFonts w:hint="default" w:ascii="Arial" w:hAnsi="Arial" w:cs="Arial"/>
                <w:b/>
                <w:bCs/>
                <w:color w:val="000000" w:themeColor="text1"/>
                <w:rtl/>
                <w:lang w:bidi="fa-IR"/>
                <w14:textFill>
                  <w14:solidFill>
                    <w14:schemeClr w14:val="tx1"/>
                  </w14:solidFill>
                </w14:textFill>
              </w:rPr>
              <w:t>کل</w:t>
            </w:r>
          </w:p>
        </w:tc>
        <w:tc>
          <w:tcPr>
            <w:tcW w:w="1530" w:type="dxa"/>
            <w:shd w:val="clear" w:color="auto" w:fill="CCCCCC" w:themeFill="text1" w:themeFillTint="33"/>
            <w:vAlign w:val="center"/>
          </w:tcPr>
          <w:p w14:paraId="20114907">
            <w:pPr>
              <w:keepNext w:val="0"/>
              <w:keepLines w:val="0"/>
              <w:widowControl/>
              <w:suppressLineNumbers w:val="0"/>
              <w:bidi/>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۱۵۳٫۲۴۵</w:t>
            </w:r>
          </w:p>
        </w:tc>
        <w:tc>
          <w:tcPr>
            <w:tcW w:w="1530" w:type="dxa"/>
            <w:shd w:val="clear" w:color="auto" w:fill="CCCCCC" w:themeFill="text1" w:themeFillTint="33"/>
            <w:vAlign w:val="center"/>
          </w:tcPr>
          <w:p w14:paraId="4A860C43">
            <w:pPr>
              <w:keepNext w:val="0"/>
              <w:keepLines w:val="0"/>
              <w:widowControl/>
              <w:suppressLineNumbers w:val="0"/>
              <w:bidi/>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r>
              <w:rPr>
                <w:rFonts w:hint="default" w:ascii="Arial" w:hAnsi="Arial" w:cs="Arial"/>
                <w:color w:val="000000" w:themeColor="text1"/>
                <w:rtl/>
                <w:lang w:bidi="fa-IR"/>
                <w14:textFill>
                  <w14:solidFill>
                    <w14:schemeClr w14:val="tx1"/>
                  </w14:solidFill>
                </w14:textFill>
              </w:rPr>
              <w:t>۱۹۵</w:t>
            </w:r>
          </w:p>
        </w:tc>
        <w:tc>
          <w:tcPr>
            <w:tcW w:w="1530" w:type="dxa"/>
            <w:shd w:val="clear" w:color="auto" w:fill="CCCCCC" w:themeFill="text1" w:themeFillTint="33"/>
            <w:vAlign w:val="center"/>
          </w:tcPr>
          <w:p w14:paraId="17DE778F">
            <w:pPr>
              <w:keepNext w:val="0"/>
              <w:keepLines w:val="0"/>
              <w:widowControl/>
              <w:suppressLineNumbers w:val="0"/>
              <w:bidi/>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p>
        </w:tc>
        <w:tc>
          <w:tcPr>
            <w:tcW w:w="1531" w:type="dxa"/>
            <w:shd w:val="clear" w:color="auto" w:fill="CCCCCC" w:themeFill="text1" w:themeFillTint="33"/>
            <w:vAlign w:val="center"/>
          </w:tcPr>
          <w:p w14:paraId="2E9AB4C0">
            <w:pPr>
              <w:keepNext w:val="0"/>
              <w:keepLines w:val="0"/>
              <w:widowControl/>
              <w:suppressLineNumbers w:val="0"/>
              <w:bidi/>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p>
        </w:tc>
        <w:tc>
          <w:tcPr>
            <w:tcW w:w="1531" w:type="dxa"/>
            <w:shd w:val="clear" w:color="auto" w:fill="CCCCCC" w:themeFill="text1" w:themeFillTint="33"/>
            <w:vAlign w:val="center"/>
          </w:tcPr>
          <w:p w14:paraId="7466563B">
            <w:pPr>
              <w:keepNext w:val="0"/>
              <w:keepLines w:val="0"/>
              <w:widowControl/>
              <w:suppressLineNumbers w:val="0"/>
              <w:bidi/>
              <w:spacing w:before="0" w:beforeAutospacing="0" w:after="0" w:afterAutospacing="0" w:line="360" w:lineRule="auto"/>
              <w:ind w:left="0" w:right="0"/>
              <w:jc w:val="center"/>
              <w:rPr>
                <w:rFonts w:hint="default" w:ascii="Arial" w:hAnsi="Arial" w:cs="Arial"/>
                <w:color w:val="000000" w:themeColor="text1"/>
                <w:lang w:bidi="fa-IR"/>
                <w14:textFill>
                  <w14:solidFill>
                    <w14:schemeClr w14:val="tx1"/>
                  </w14:solidFill>
                </w14:textFill>
              </w:rPr>
            </w:pPr>
          </w:p>
        </w:tc>
      </w:tr>
    </w:tbl>
    <w:p w14:paraId="06FF4F89">
      <w:pPr>
        <w:bidi/>
        <w:spacing w:line="360" w:lineRule="auto"/>
        <w:jc w:val="both"/>
        <w:rPr>
          <w:rFonts w:hint="default" w:ascii="Arial" w:hAnsi="Arial" w:cs="Arial"/>
          <w:sz w:val="28"/>
          <w:szCs w:val="28"/>
          <w:rtl/>
          <w:lang w:bidi="fa-IR"/>
        </w:rPr>
      </w:pPr>
    </w:p>
    <w:p w14:paraId="3E338483">
      <w:pPr>
        <w:bidi/>
        <w:spacing w:line="360" w:lineRule="auto"/>
        <w:jc w:val="both"/>
        <w:rPr>
          <w:rFonts w:hint="default" w:ascii="Arial" w:hAnsi="Arial" w:cs="Arial"/>
          <w:sz w:val="28"/>
          <w:szCs w:val="28"/>
          <w:rtl/>
          <w:lang w:bidi="fa-IR"/>
        </w:rPr>
      </w:pPr>
    </w:p>
    <w:p w14:paraId="6D42E9CD">
      <w:pPr>
        <w:bidi/>
        <w:spacing w:line="360" w:lineRule="auto"/>
        <w:jc w:val="both"/>
        <w:rPr>
          <w:rFonts w:hint="default" w:ascii="Arial" w:hAnsi="Arial" w:cs="Arial"/>
          <w:sz w:val="28"/>
          <w:szCs w:val="28"/>
          <w:rtl/>
          <w:lang w:bidi="fa-IR"/>
        </w:rPr>
      </w:pPr>
    </w:p>
    <w:p w14:paraId="6D742892">
      <w:pPr>
        <w:bidi/>
        <w:spacing w:line="360" w:lineRule="auto"/>
        <w:jc w:val="both"/>
        <w:rPr>
          <w:rFonts w:hint="default" w:ascii="Arial" w:hAnsi="Arial" w:cs="Arial"/>
          <w:sz w:val="28"/>
          <w:szCs w:val="28"/>
          <w:rtl/>
          <w:lang w:bidi="fa-IR"/>
        </w:rPr>
      </w:pPr>
    </w:p>
    <w:p w14:paraId="46174150">
      <w:pPr>
        <w:bidi/>
        <w:spacing w:line="360" w:lineRule="auto"/>
        <w:jc w:val="both"/>
        <w:rPr>
          <w:rFonts w:hint="default" w:ascii="Arial" w:hAnsi="Arial" w:cs="Arial"/>
          <w:b/>
          <w:bCs/>
          <w:sz w:val="28"/>
          <w:szCs w:val="28"/>
          <w:rtl/>
          <w:lang w:bidi="fa-IR"/>
        </w:rPr>
      </w:pPr>
      <w:r>
        <w:rPr>
          <w:rFonts w:hint="default" w:ascii="Arial" w:hAnsi="Arial" w:cs="Arial"/>
          <w:b/>
          <w:bCs/>
          <w:sz w:val="28"/>
          <w:szCs w:val="28"/>
          <w:rtl/>
          <w:lang w:bidi="fa-IR"/>
        </w:rPr>
        <w:t>بحث</w:t>
      </w:r>
    </w:p>
    <w:p w14:paraId="4A0D4D8C">
      <w:pPr>
        <w:bidi/>
        <w:spacing w:line="360" w:lineRule="auto"/>
        <w:jc w:val="both"/>
        <w:rPr>
          <w:rFonts w:hint="default" w:ascii="Arial" w:hAnsi="Arial" w:cs="Arial"/>
          <w:sz w:val="28"/>
          <w:szCs w:val="28"/>
          <w:rtl/>
          <w:lang w:bidi="fa-IR"/>
        </w:rPr>
      </w:pPr>
      <w:r>
        <w:rPr>
          <w:rFonts w:hint="default" w:ascii="Arial" w:hAnsi="Arial" w:cs="Arial"/>
          <w:sz w:val="28"/>
          <w:szCs w:val="28"/>
          <w:rtl/>
          <w:lang w:bidi="fa-IR"/>
        </w:rPr>
        <w:t xml:space="preserve">در این مطالعه که با هدف بررسی شیوع علائم گوش، حلق و بینی در بیماران مبتلا به کووید-۱۹ و تعیین ارتباط این علائم با شدت بیماری انجام شد، 197 بیمار بررسی شدند </w:t>
      </w:r>
      <w:r>
        <w:rPr>
          <w:rFonts w:hint="default" w:ascii="Arial" w:hAnsi="Arial" w:cs="Arial"/>
          <w:sz w:val="28"/>
          <w:szCs w:val="28"/>
          <w:lang w:bidi="fa-IR"/>
        </w:rPr>
        <w:t>60.34±18.57</w:t>
      </w:r>
      <w:r>
        <w:rPr>
          <w:rFonts w:hint="default" w:ascii="Arial" w:hAnsi="Arial" w:cs="Arial"/>
          <w:sz w:val="28"/>
          <w:szCs w:val="28"/>
          <w:rtl/>
          <w:lang w:bidi="fa-IR"/>
        </w:rPr>
        <w:t xml:space="preserve"> سال بود و 108 نفر مرد (54.8%) بودند. سرفه شایع ترین علامت بود (56.9%) و در درجه بعد </w:t>
      </w:r>
      <w:r>
        <w:rPr>
          <w:rFonts w:hint="default" w:ascii="Arial" w:hAnsi="Arial" w:cs="Arial"/>
          <w:sz w:val="28"/>
          <w:szCs w:val="28"/>
          <w:rtl/>
        </w:rPr>
        <w:t>کاهش حس بویایی (</w:t>
      </w:r>
      <w:r>
        <w:rPr>
          <w:rFonts w:hint="default" w:ascii="Arial" w:hAnsi="Arial" w:cs="Arial"/>
          <w:sz w:val="28"/>
          <w:szCs w:val="28"/>
          <w:rtl/>
          <w:lang w:bidi="fa-IR"/>
        </w:rPr>
        <w:t>۱۰.۲٪)</w:t>
      </w:r>
      <w:r>
        <w:rPr>
          <w:rFonts w:hint="default" w:ascii="Arial" w:hAnsi="Arial" w:cs="Arial"/>
          <w:sz w:val="28"/>
          <w:szCs w:val="28"/>
          <w:rtl/>
        </w:rPr>
        <w:t xml:space="preserve"> قرار داشت. دیسفاژی، خونریزی بینی، هیپوسمیا و وزوز گوش ارتباط معناداری با شدت بیماری داشتند. </w:t>
      </w:r>
      <w:r>
        <w:rPr>
          <w:rFonts w:hint="default" w:ascii="Arial" w:hAnsi="Arial" w:cs="Arial"/>
          <w:sz w:val="28"/>
          <w:szCs w:val="28"/>
          <w:rtl/>
          <w:lang w:bidi="fa-IR"/>
        </w:rPr>
        <w:t xml:space="preserve">سن با شدت بیماری ارتباط معنی داری داشت اما جنس ارتباط آماری معنی داری با شدت بیماری کووید-19 نداشت. هیچ ارتباط معناداری بین مدت زمان بستری با علائم گوش و حلق و بینی در بیماران مبتلا به کووید 19 وجود نداشت. </w:t>
      </w:r>
    </w:p>
    <w:p w14:paraId="4DD57B2A">
      <w:pPr>
        <w:bidi/>
        <w:spacing w:line="360" w:lineRule="auto"/>
        <w:jc w:val="both"/>
        <w:rPr>
          <w:rFonts w:hint="default" w:ascii="Arial" w:hAnsi="Arial" w:cs="Arial"/>
          <w:sz w:val="28"/>
          <w:szCs w:val="28"/>
          <w:rtl/>
          <w:lang w:bidi="fa-IR"/>
        </w:rPr>
      </w:pPr>
      <w:r>
        <w:rPr>
          <w:rFonts w:hint="default" w:ascii="Arial" w:hAnsi="Arial" w:cs="Arial"/>
          <w:sz w:val="28"/>
          <w:szCs w:val="28"/>
          <w:rtl/>
          <w:lang w:bidi="fa-IR"/>
        </w:rPr>
        <w:t xml:space="preserve">طبق مطالعات انجام شده قبلی، مشخص شد که تظاهرات غیر گوش و حلق و بینی مانند تب و سرفه در بیماران کووید شایع‌تر از تظاهرات گوش و حلق و بینی است. با این حال، مشاهده تظاهرات گوش و حلق و بینی در این بیماران غیرمعمول نیست </w:t>
      </w:r>
      <w:r>
        <w:rPr>
          <w:rFonts w:hint="default" w:ascii="Arial" w:hAnsi="Arial" w:cs="Arial"/>
          <w:sz w:val="28"/>
          <w:szCs w:val="28"/>
          <w:rtl/>
          <w:lang w:bidi="fa-IR"/>
        </w:rPr>
        <w:fldChar w:fldCharType="begin">
          <w:fldData xml:space="preserve">PEVuZE5vdGU+PENpdGU+PEF1dGhvcj5XYW5nPC9BdXRob3I+PFllYXI+MjAyMDwvWWVhcj48UmVj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</w:fldData>
        </w:fldChar>
      </w:r>
      <w:r>
        <w:rPr>
          <w:rFonts w:hint="default" w:ascii="Arial" w:hAnsi="Arial" w:cs="Arial"/>
          <w:sz w:val="28"/>
          <w:szCs w:val="28"/>
          <w:rtl/>
          <w:lang w:bidi="fa-IR"/>
        </w:rPr>
        <w:instrText xml:space="preserve"> </w:instrText>
      </w:r>
      <w:r>
        <w:rPr>
          <w:rFonts w:hint="default" w:ascii="Arial" w:hAnsi="Arial" w:cs="Arial"/>
          <w:sz w:val="28"/>
          <w:szCs w:val="28"/>
          <w:lang w:bidi="fa-IR"/>
        </w:rPr>
        <w:instrText xml:space="preserve">ADDIN EN.CITE </w:instrText>
      </w:r>
      <w:r>
        <w:rPr>
          <w:rFonts w:hint="default" w:ascii="Arial" w:hAnsi="Arial" w:cs="Arial"/>
          <w:sz w:val="28"/>
          <w:szCs w:val="28"/>
          <w:lang w:bidi="fa-IR"/>
        </w:rPr>
        <w:fldChar w:fldCharType="begin">
          <w:fldData xml:space="preserve">PEVuZE5vdGU+PENpdGU+PEF1dGhvcj5XYW5nPC9BdXRob3I+PFllYXI+MjAyMDwvWWVhcj48UmVj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</w:fldData>
        </w:fldChar>
      </w:r>
      <w:r>
        <w:rPr>
          <w:rFonts w:hint="default" w:ascii="Arial" w:hAnsi="Arial" w:cs="Arial"/>
          <w:sz w:val="28"/>
          <w:szCs w:val="28"/>
          <w:lang w:bidi="fa-IR"/>
        </w:rPr>
        <w:instrText xml:space="preserve"> ADDIN EN.CITE.DATA </w:instrText>
      </w:r>
      <w:r>
        <w:rPr>
          <w:rFonts w:hint="default" w:ascii="Arial" w:hAnsi="Arial" w:cs="Arial"/>
          <w:sz w:val="28"/>
          <w:szCs w:val="28"/>
          <w:lang w:bidi="fa-IR"/>
        </w:rPr>
        <w:fldChar w:fldCharType="end"/>
      </w:r>
      <w:r>
        <w:rPr>
          <w:rFonts w:hint="default" w:ascii="Arial" w:hAnsi="Arial" w:cs="Arial"/>
          <w:sz w:val="28"/>
          <w:szCs w:val="28"/>
          <w:rtl/>
          <w:lang w:bidi="fa-IR"/>
        </w:rPr>
        <w:fldChar w:fldCharType="separate"/>
      </w:r>
      <w:r>
        <w:rPr>
          <w:rFonts w:hint="default" w:ascii="Arial" w:hAnsi="Arial" w:cs="Arial"/>
          <w:sz w:val="28"/>
          <w:szCs w:val="28"/>
          <w:rtl/>
          <w:lang w:bidi="fa-IR"/>
        </w:rPr>
        <w:t>(8-10)</w:t>
      </w:r>
      <w:r>
        <w:rPr>
          <w:rFonts w:hint="default" w:ascii="Arial" w:hAnsi="Arial" w:cs="Arial"/>
          <w:sz w:val="28"/>
          <w:szCs w:val="28"/>
          <w:rtl/>
          <w:lang w:bidi="fa-IR"/>
        </w:rPr>
        <w:fldChar w:fldCharType="end"/>
      </w:r>
      <w:r>
        <w:rPr>
          <w:rFonts w:hint="default" w:ascii="Arial" w:hAnsi="Arial" w:cs="Arial"/>
          <w:sz w:val="28"/>
          <w:szCs w:val="28"/>
          <w:rtl/>
          <w:lang w:bidi="fa-IR"/>
        </w:rPr>
        <w:t xml:space="preserve">. در مطالعه ی حال حاضر نیز دیده شد که شایع ترین علامت، سرفه بود که بر مبنای مطالعات گفته شده، یک علامت غیر گوش و حلق و بینی است. </w:t>
      </w:r>
    </w:p>
    <w:p w14:paraId="5EBABBA2">
      <w:pPr>
        <w:bidi/>
        <w:spacing w:line="360" w:lineRule="auto"/>
        <w:jc w:val="both"/>
        <w:rPr>
          <w:rFonts w:hint="default" w:ascii="Arial" w:hAnsi="Arial" w:cs="Arial"/>
          <w:sz w:val="28"/>
          <w:szCs w:val="28"/>
          <w:rtl/>
          <w:lang w:bidi="fa-IR"/>
        </w:rPr>
      </w:pPr>
      <w:r>
        <w:rPr>
          <w:rFonts w:hint="default" w:ascii="Arial" w:hAnsi="Arial" w:cs="Arial"/>
          <w:sz w:val="28"/>
          <w:szCs w:val="28"/>
          <w:rtl/>
          <w:lang w:bidi="fa-IR"/>
        </w:rPr>
        <w:t xml:space="preserve">بوراه و همکاران در مطالعه ای به بررسی تظاهرات گوش و حلق و بینی در بیماران مبتلا به کووید-۱۹ پرداختند.  ۱۶۵۰ (۸۳٪) بیمار با تظاهرات گوش، حلق و بینی </w:t>
      </w:r>
      <w:r>
        <w:rPr>
          <w:rFonts w:hint="default" w:ascii="Arial" w:hAnsi="Arial" w:cs="Arial"/>
          <w:sz w:val="28"/>
          <w:szCs w:val="28"/>
          <w:rtl/>
        </w:rPr>
        <w:t>(</w:t>
      </w:r>
      <w:r>
        <w:rPr>
          <w:rFonts w:hint="default" w:ascii="Arial" w:hAnsi="Arial" w:cs="Arial"/>
          <w:sz w:val="28"/>
          <w:szCs w:val="28"/>
          <w:rtl/>
          <w:lang w:bidi="fa-IR"/>
        </w:rPr>
        <w:t xml:space="preserve">گوش، بینی، گلو) مراجعه کردند و ۳۵۰ (۱۷٪) هیچ گونه تظاهرات گوش، حلق و بینی نداشتند. گزارش شد که شایع‌ترین علائم گوش و حلق و بینی که بیماران با آن مراجعه کردند، گلودرد (۸۰٪) و سردرد (۷۶٪)، هیپوسمی (۴۴٪)، اختلال حس چشایی (۳۲٪) و گرفتگی بینی (۲۸٪) بودند. شایع‌ترین علائم غیر گوش و حلق و بینی، تب (۹۲٪) و سرفه (۸۵٪) بودند. هیچ ارتباط معناداری بین وجود علائم گوش و حلق و بینی و شدت بیماری مشاهده نشد </w:t>
      </w:r>
      <w:r>
        <w:rPr>
          <w:rFonts w:hint="default" w:ascii="Arial" w:hAnsi="Arial" w:cs="Arial"/>
          <w:sz w:val="28"/>
          <w:szCs w:val="28"/>
          <w:rtl/>
          <w:lang w:bidi="fa-IR"/>
        </w:rPr>
        <w:fldChar w:fldCharType="begin"/>
      </w:r>
      <w:r>
        <w:rPr>
          <w:rFonts w:hint="default" w:ascii="Arial" w:hAnsi="Arial" w:cs="Arial"/>
          <w:sz w:val="28"/>
          <w:szCs w:val="28"/>
          <w:rtl/>
          <w:lang w:bidi="fa-IR"/>
        </w:rPr>
        <w:instrText xml:space="preserve"> </w:instrText>
      </w:r>
      <w:r>
        <w:rPr>
          <w:rFonts w:hint="default" w:ascii="Arial" w:hAnsi="Arial" w:cs="Arial"/>
          <w:sz w:val="28"/>
          <w:szCs w:val="28"/>
          <w:lang w:bidi="fa-IR"/>
        </w:rPr>
        <w:instrText xml:space="preserve">ADDIN EN.CITE &lt;EndNote&gt;&lt;Cite&gt;&lt;Author&gt;Borah&lt;/Author&gt;&lt;Year&gt;2022&lt;/Year&gt;&lt;RecNum&gt;3382&lt;/RecNum&gt;&lt;DisplayText&gt;(7)&lt;/DisplayText&gt;&lt;record&gt;&lt;rec-number&gt;3382&lt;/rec-number&gt;&lt;foreign-keys&gt;&lt;key app="EN" db-id="9f2ws2vx0s2xrlew22qvtpt15pwrpzv9fexa" timestamp="1758102869"&gt;33</w:instrText>
      </w:r>
      <w:r>
        <w:rPr>
          <w:rFonts w:hint="default" w:ascii="Arial" w:hAnsi="Arial" w:cs="Arial"/>
          <w:sz w:val="28"/>
          <w:szCs w:val="28"/>
          <w:rtl/>
          <w:lang w:bidi="fa-IR"/>
        </w:rPr>
        <w:instrText xml:space="preserve">82&lt;/</w:instrText>
      </w:r>
      <w:r>
        <w:rPr>
          <w:rFonts w:hint="default" w:ascii="Arial" w:hAnsi="Arial" w:cs="Arial"/>
          <w:sz w:val="28"/>
          <w:szCs w:val="28"/>
          <w:lang w:bidi="fa-IR"/>
        </w:rPr>
        <w:instrText xml:space="preserve">key&gt;&lt;/foreign-keys&gt;&lt;ref-type name="Journal Article"&gt;17&lt;/ref-type&gt;&lt;contributors&gt;&lt;authors&gt;&lt;author&gt;Borah, Hironya&lt;/author&gt;&lt;author&gt;Das, Sunita&lt;/author&gt;&lt;author&gt;Goswami, Abhilasha&lt;/author&gt;&lt;/authors&gt;&lt;/contributors&gt;&lt;titles&gt;&lt;title&gt;Otorhinolaryngological manifestations and its management in COVID 19 patients&lt;/title&gt;&lt;secondary-title&gt;Indian Journal of Otolaryngology and Head &amp;amp; Neck Surgery&lt;/secondary-title&gt;&lt;/titles&gt;&lt;periodical&gt;&lt;full-title&gt;Indian journal of otolaryngology and head &amp;amp; neck surgery&lt;/full-title&gt;&lt;/periodical&gt;&lt;pages&gt;3391-3394&lt;/pages&gt;&lt;volume&gt;74&lt;/volume&gt;&lt;number&gt;Suppl 2&lt;/number&gt;&lt;dates&gt;&lt;year&gt;2022&lt;/year&gt;&lt;/dates&gt;&lt;isbn&gt;2231-3796&lt;/isbn&gt;&lt;urls&gt;&lt;/urls&gt;&lt;/record&gt;&lt;/Cite&gt;&lt;/EndNote&gt;</w:instrText>
      </w:r>
      <w:r>
        <w:rPr>
          <w:rFonts w:hint="default" w:ascii="Arial" w:hAnsi="Arial" w:cs="Arial"/>
          <w:sz w:val="28"/>
          <w:szCs w:val="28"/>
          <w:rtl/>
          <w:lang w:bidi="fa-IR"/>
        </w:rPr>
        <w:fldChar w:fldCharType="separate"/>
      </w:r>
      <w:r>
        <w:rPr>
          <w:rFonts w:hint="default" w:ascii="Arial" w:hAnsi="Arial" w:cs="Arial"/>
          <w:sz w:val="28"/>
          <w:szCs w:val="28"/>
          <w:rtl/>
          <w:lang w:bidi="fa-IR"/>
        </w:rPr>
        <w:t>(7)</w:t>
      </w:r>
      <w:r>
        <w:rPr>
          <w:rFonts w:hint="default" w:ascii="Arial" w:hAnsi="Arial" w:cs="Arial"/>
          <w:sz w:val="28"/>
          <w:szCs w:val="28"/>
          <w:rtl/>
          <w:lang w:bidi="fa-IR"/>
        </w:rPr>
        <w:fldChar w:fldCharType="end"/>
      </w:r>
      <w:r>
        <w:rPr>
          <w:rFonts w:hint="default" w:ascii="Arial" w:hAnsi="Arial" w:cs="Arial"/>
          <w:sz w:val="28"/>
          <w:szCs w:val="28"/>
          <w:rtl/>
          <w:lang w:bidi="fa-IR"/>
        </w:rPr>
        <w:t>. این یافته ها نسبتا مشابه مطالعه ی حال حاضر بود. در مطالعه ی ما نیز دیده شد که سرفه جزو علائم بسیار شایع بیماران بود اما شایع ترین علامت گوش و حلق و بینی در مطالعه ی ما کاهش حس بویایی بود. این موضوع می تواند به دلیل حجم نمونه ی کمتر در مطالعه ی ما و همچنین گروه بندی نکردن بیماران به علائم گوش و حلق و بینی و غیر گوش و حلق و بینی مشابه با مطالعه ی بورا ه و همکاران باشد که در واقع نشان دهنده ی تفاوت در روش اجرای این دو مطالعه است. بر خلاف مطالعه بوراه و همکاران، در مطالعه ی حال حاضر دیده شد که دیسفاژی، خونریزی بینی، هیپوسمیا و وزوز گوش ارتباط معناداری با شدت بیماری داشتند. این تفاوت در نتایج دو مطالعه اگرچه ممکن است به دلایل تفاوت در حجم نمونه و روش اجرای دو مطالعه باشد، اما نشان دهنده ی نیاز به انجام مطالعات بیشتر در این زمینه در آینده است.</w:t>
      </w:r>
    </w:p>
    <w:p w14:paraId="3ABF0647">
      <w:pPr>
        <w:bidi/>
        <w:spacing w:line="360" w:lineRule="auto"/>
        <w:jc w:val="both"/>
        <w:rPr>
          <w:rFonts w:hint="default" w:ascii="Arial" w:hAnsi="Arial" w:cs="Arial"/>
          <w:sz w:val="28"/>
          <w:szCs w:val="28"/>
          <w:rtl/>
          <w:lang w:bidi="fa-IR"/>
        </w:rPr>
      </w:pPr>
      <w:r>
        <w:rPr>
          <w:rFonts w:hint="default" w:ascii="Arial" w:hAnsi="Arial" w:cs="Arial"/>
          <w:sz w:val="28"/>
          <w:szCs w:val="28"/>
          <w:rtl/>
          <w:lang w:bidi="fa-IR"/>
        </w:rPr>
        <w:t xml:space="preserve">زیبا و همکاران نیز گزارش دادند که شایع‌ترین علائم گزارش‌شده گوش و حلق و بینی به دنبال ابتلا به کووید-19، اختلالات بویایی بود. دومین علامت شایع، اختلال چشایی بود. آنها نتیجه گیری کردند که علائم مربوط به حس بویایی، چشایی و شنوایی از شایع‌ترین علائم در طول دوره کووید-۱۹ هستند که در مدیریت درمانی و اپیدمیولوژیک بیماران اهمیت دارد </w:t>
      </w:r>
      <w:r>
        <w:rPr>
          <w:rFonts w:hint="default" w:ascii="Arial" w:hAnsi="Arial" w:cs="Arial"/>
          <w:sz w:val="28"/>
          <w:szCs w:val="28"/>
          <w:rtl/>
          <w:lang w:bidi="fa-IR"/>
        </w:rPr>
        <w:fldChar w:fldCharType="begin"/>
      </w:r>
      <w:r>
        <w:rPr>
          <w:rFonts w:hint="default" w:ascii="Arial" w:hAnsi="Arial" w:cs="Arial"/>
          <w:sz w:val="28"/>
          <w:szCs w:val="28"/>
          <w:rtl/>
          <w:lang w:bidi="fa-IR"/>
        </w:rPr>
        <w:instrText xml:space="preserve"> </w:instrText>
      </w:r>
      <w:r>
        <w:rPr>
          <w:rFonts w:hint="default" w:ascii="Arial" w:hAnsi="Arial" w:cs="Arial"/>
          <w:sz w:val="28"/>
          <w:szCs w:val="28"/>
          <w:lang w:bidi="fa-IR"/>
        </w:rPr>
        <w:instrText xml:space="preserve">ADDIN EN.CITE &lt;EndNote&gt;&lt;Cite&gt;&lt;Author&gt;Zięba&lt;/Author&gt;&lt;Year&gt;2022&lt;/Year&gt;&lt;RecNum&gt;3385&lt;/RecNum&gt;&lt;DisplayText&gt;(11)&lt;/DisplayText&gt;&lt;record&gt;&lt;rec-number&gt;3385&lt;/rec-number&gt;&lt;foreign-keys&gt;&lt;key app="EN" db-id="9f2ws2vx0s2xrlew22qvtpt15pwrpzv9fexa" timestamp="1758103725"&gt;3</w:instrText>
      </w:r>
      <w:r>
        <w:rPr>
          <w:rFonts w:hint="default" w:ascii="Arial" w:hAnsi="Arial" w:cs="Arial"/>
          <w:sz w:val="28"/>
          <w:szCs w:val="28"/>
          <w:rtl/>
          <w:lang w:bidi="fa-IR"/>
        </w:rPr>
        <w:instrText xml:space="preserve">385&lt;/</w:instrText>
      </w:r>
      <w:r>
        <w:rPr>
          <w:rFonts w:hint="default" w:ascii="Arial" w:hAnsi="Arial" w:cs="Arial"/>
          <w:sz w:val="28"/>
          <w:szCs w:val="28"/>
          <w:lang w:bidi="fa-IR"/>
        </w:rPr>
        <w:instrText xml:space="preserve">key&gt;&lt;/foreign-keys&gt;&lt;ref-type name="Journal Article"&gt;17&lt;/ref-type&gt;&lt;contributors&gt;&lt;authors&gt;&lt;author&gt;Zięba, Natalia&lt;/author&gt;&lt;author&gt;Lisowska, Grażyna&lt;/author&gt;&lt;author&gt;Dadok, Adam&lt;/author&gt;&lt;author&gt;Kaczmarek, Joanna&lt;/author&gt;&lt;author&gt;Stryjewska-Makuch, Grażyna&lt;</w:instrText>
      </w:r>
      <w:r>
        <w:rPr>
          <w:rFonts w:hint="default" w:ascii="Arial" w:hAnsi="Arial" w:cs="Arial"/>
          <w:sz w:val="28"/>
          <w:szCs w:val="28"/>
          <w:rtl/>
          <w:lang w:bidi="fa-IR"/>
        </w:rPr>
        <w:instrText xml:space="preserve">/</w:instrText>
      </w:r>
      <w:r>
        <w:rPr>
          <w:rFonts w:hint="default" w:ascii="Arial" w:hAnsi="Arial" w:cs="Arial"/>
          <w:sz w:val="28"/>
          <w:szCs w:val="28"/>
          <w:lang w:bidi="fa-IR"/>
        </w:rPr>
        <w:instrText xml:space="preserve">author&gt;&lt;author&gt;Misiołek, Maciej&lt;/author&gt;&lt;/authors&gt;&lt;/contributors&gt;&lt;titles&gt;&lt;title&gt;Frequency and severity of ear–nose–throat (ENT) symptoms during COVID-19 infection&lt;/title&gt;&lt;secondary-title&gt;Medicina&lt;/secondary-title&gt;&lt;/titles&gt;&lt;periodical&gt;&lt;full-title&gt;Medicina</w:instrText>
      </w:r>
      <w:r>
        <w:rPr>
          <w:rFonts w:hint="default" w:ascii="Arial" w:hAnsi="Arial" w:cs="Arial"/>
          <w:sz w:val="28"/>
          <w:szCs w:val="28"/>
          <w:rtl/>
          <w:lang w:bidi="fa-IR"/>
        </w:rPr>
        <w:instrText xml:space="preserve">&lt;/</w:instrText>
      </w:r>
      <w:r>
        <w:rPr>
          <w:rFonts w:hint="default" w:ascii="Arial" w:hAnsi="Arial" w:cs="Arial"/>
          <w:sz w:val="28"/>
          <w:szCs w:val="28"/>
          <w:lang w:bidi="fa-IR"/>
        </w:rPr>
        <w:instrText xml:space="preserve">full-title&gt;&lt;/periodical&gt;&lt;pages&gt;623&lt;/pages&gt;&lt;volume&gt;58&lt;/volume&gt;&lt;number&gt;5&lt;/number&gt;&lt;dates&gt;&lt;year&gt;2022&lt;/year&gt;&lt;/dates&gt;&lt;isbn&gt;1648-9144&lt;/isbn&gt;&lt;urls&gt;&lt;/urls&gt;&lt;/record&gt;&lt;/Cite&gt;&lt;/EndNote&gt;</w:instrText>
      </w:r>
      <w:r>
        <w:rPr>
          <w:rFonts w:hint="default" w:ascii="Arial" w:hAnsi="Arial" w:cs="Arial"/>
          <w:sz w:val="28"/>
          <w:szCs w:val="28"/>
          <w:rtl/>
          <w:lang w:bidi="fa-IR"/>
        </w:rPr>
        <w:fldChar w:fldCharType="separate"/>
      </w:r>
      <w:r>
        <w:rPr>
          <w:rFonts w:hint="default" w:ascii="Arial" w:hAnsi="Arial" w:cs="Arial"/>
          <w:sz w:val="28"/>
          <w:szCs w:val="28"/>
          <w:rtl/>
          <w:lang w:bidi="fa-IR"/>
        </w:rPr>
        <w:t>(11)</w:t>
      </w:r>
      <w:r>
        <w:rPr>
          <w:rFonts w:hint="default" w:ascii="Arial" w:hAnsi="Arial" w:cs="Arial"/>
          <w:sz w:val="28"/>
          <w:szCs w:val="28"/>
          <w:rtl/>
          <w:lang w:bidi="fa-IR"/>
        </w:rPr>
        <w:fldChar w:fldCharType="end"/>
      </w:r>
      <w:r>
        <w:rPr>
          <w:rFonts w:hint="default" w:ascii="Arial" w:hAnsi="Arial" w:cs="Arial"/>
          <w:sz w:val="28"/>
          <w:szCs w:val="28"/>
          <w:rtl/>
          <w:lang w:bidi="fa-IR"/>
        </w:rPr>
        <w:t xml:space="preserve">. اگرچه بر طبق مطالعات، کاهش حس بویایی و چشایی علائم اولیه‌ای هستند که در بیماران کووید-19 مشاهده می‌شوند و در 5 تا 7 روز اول رخ می‌دهند اما در حال حاضر، هیچ مطالعه قطعی برای شناخت مکانیسم ایجاد اختلال بویایی و چشایی در این بیماران و همچنین ارزیابی بهبود این علائم انجام نشده است </w:t>
      </w:r>
      <w:r>
        <w:rPr>
          <w:rFonts w:hint="default" w:ascii="Arial" w:hAnsi="Arial" w:cs="Arial"/>
          <w:sz w:val="28"/>
          <w:szCs w:val="28"/>
          <w:rtl/>
          <w:lang w:bidi="fa-IR"/>
        </w:rPr>
        <w:fldChar w:fldCharType="begin"/>
      </w:r>
      <w:r>
        <w:rPr>
          <w:rFonts w:hint="default" w:ascii="Arial" w:hAnsi="Arial" w:cs="Arial"/>
          <w:sz w:val="28"/>
          <w:szCs w:val="28"/>
          <w:rtl/>
          <w:lang w:bidi="fa-IR"/>
        </w:rPr>
        <w:instrText xml:space="preserve"> </w:instrText>
      </w:r>
      <w:r>
        <w:rPr>
          <w:rFonts w:hint="default" w:ascii="Arial" w:hAnsi="Arial" w:cs="Arial"/>
          <w:sz w:val="28"/>
          <w:szCs w:val="28"/>
          <w:lang w:bidi="fa-IR"/>
        </w:rPr>
        <w:instrText xml:space="preserve">ADDIN EN.CITE &lt;EndNote&gt;&lt;Cite&gt;&lt;Author&gt;Vaira&lt;/Author&gt;&lt;Year&gt;2020&lt;/Year&gt;&lt;RecNum&gt;3381&lt;/RecNum&gt;&lt;DisplayText&gt;(10, 12)&lt;/DisplayText&gt;&lt;record&gt;&lt;rec-number&gt;3381&lt;/rec-number&gt;&lt;foreign-keys&gt;&lt;key app="EN" db-id="9f2ws2vx0s2xrlew22qvtpt15pwrpzv9fexa" timestamp="175810227</w:instrText>
      </w:r>
      <w:r>
        <w:rPr>
          <w:rFonts w:hint="default" w:ascii="Arial" w:hAnsi="Arial" w:cs="Arial"/>
          <w:sz w:val="28"/>
          <w:szCs w:val="28"/>
          <w:rtl/>
          <w:lang w:bidi="fa-IR"/>
        </w:rPr>
        <w:instrText xml:space="preserve">6"&gt;3381&lt;/</w:instrText>
      </w:r>
      <w:r>
        <w:rPr>
          <w:rFonts w:hint="default" w:ascii="Arial" w:hAnsi="Arial" w:cs="Arial"/>
          <w:sz w:val="28"/>
          <w:szCs w:val="28"/>
          <w:lang w:bidi="fa-IR"/>
        </w:rPr>
        <w:instrText xml:space="preserve">key&gt;&lt;/foreign-keys&gt;&lt;ref-type name="Journal Article"&gt;17&lt;/ref-type&gt;&lt;contributors&gt;&lt;authors&gt;&lt;author&gt;Vaira, Luigi A&lt;/author&gt;&lt;author&gt;Salzano, Giovanni&lt;/author&gt;&lt;author&gt;Deiana, Giovanna&lt;/author&gt;&lt;author&gt;De Riu, Giacomo&lt;/author&gt;&lt;/authors&gt;&lt;/contributors&gt;&lt;titles&gt;&lt;title&gt;Anosmia and ageusia: common findings in COVID‐19 patients&lt;/title&gt;&lt;secondary-title&gt;The Laryngoscope&lt;/secondary-title&gt;&lt;/titles&gt;&lt;periodical&gt;&lt;full-title&gt;The Laryngoscope&lt;/full-title&gt;&lt;/periodical&gt;&lt;pages&gt;1787-1787&lt;/pages&gt;&lt;volume&gt;130&lt;/volume&gt;&lt;number&gt;</w:instrText>
      </w:r>
      <w:r>
        <w:rPr>
          <w:rFonts w:hint="default" w:ascii="Arial" w:hAnsi="Arial" w:cs="Arial"/>
          <w:sz w:val="28"/>
          <w:szCs w:val="28"/>
          <w:rtl/>
          <w:lang w:bidi="fa-IR"/>
        </w:rPr>
        <w:instrText xml:space="preserve">7&lt;/</w:instrText>
      </w:r>
      <w:r>
        <w:rPr>
          <w:rFonts w:hint="default" w:ascii="Arial" w:hAnsi="Arial" w:cs="Arial"/>
          <w:sz w:val="28"/>
          <w:szCs w:val="28"/>
          <w:lang w:bidi="fa-IR"/>
        </w:rPr>
        <w:instrText xml:space="preserve">number&gt;&lt;dates&gt;&lt;year&gt;2020&lt;/year&gt;&lt;/dates&gt;&lt;isbn&gt;0023-852X&lt;/isbn&gt;&lt;urls&gt;&lt;/urls&gt;&lt;/record&gt;&lt;/Cite&gt;&lt;Cite&gt;&lt;Author&gt;Passali&lt;/Author&gt;&lt;Year&gt;2020&lt;/Year&gt;&lt;RecNum&gt;3383&lt;/RecNum&gt;&lt;record&gt;&lt;rec-number&gt;3383&lt;/rec-number&gt;&lt;foreign-keys&gt;&lt;key app="EN" db-id="9f2ws2vx0s2xrlew22qvtpt15pwrpzv9fexa" timestamp="1758103401"&gt;3383&lt;/key&gt;&lt;/foreign-keys&gt;&lt;ref-type name="Journal Article"&gt;17&lt;/ref-type&gt;&lt;contributors&gt;&lt;authors&gt;&lt;author&gt;Passali, Giulio Cesare&lt;/author&gt;&lt;author&gt;Bentivoglio, Anna Rita&lt;/author&gt;&lt;/authors&gt;&lt;/contributors&gt;&lt;titles&gt;&lt;title&gt;Comment to the article “Olfactory and gustatory dysfunctions as a clinical presentation of mild-to-moderate forms of the coronavirus disease (COVID-19): a multicenter European study”&lt;/title&gt;&lt;secondary-title&gt;European Archives of Oto-Rhino-Laryngology&lt;/secondary-title&gt;&lt;/titles&gt;&lt;periodical&gt;&lt;full-title&gt;European Archives of Oto-Rhino-Laryngology&lt;/full-title&gt;&lt;/periodical&gt;&lt;pages&gt;2391-2392&lt;/pages&gt;&lt;volume&gt;277&lt;/volume&gt;&lt;number&gt;8&lt;/number&gt;&lt;dates&gt;&lt;year&gt;2020&lt;/year&gt;&lt;/dates&gt;&lt;isbn&gt;0937-4477&lt;/isbn&gt;&lt;urls&gt;&lt;/urls&gt;&lt;/record&gt;&lt;/Cite&gt;&lt;</w:instrText>
      </w:r>
      <w:r>
        <w:rPr>
          <w:rFonts w:hint="default" w:ascii="Arial" w:hAnsi="Arial" w:cs="Arial"/>
          <w:sz w:val="28"/>
          <w:szCs w:val="28"/>
          <w:rtl/>
          <w:lang w:bidi="fa-IR"/>
        </w:rPr>
        <w:instrText xml:space="preserve">/</w:instrText>
      </w:r>
      <w:r>
        <w:rPr>
          <w:rFonts w:hint="default" w:ascii="Arial" w:hAnsi="Arial" w:cs="Arial"/>
          <w:sz w:val="28"/>
          <w:szCs w:val="28"/>
          <w:lang w:bidi="fa-IR"/>
        </w:rPr>
        <w:instrText xml:space="preserve">EndNote&gt;</w:instrText>
      </w:r>
      <w:r>
        <w:rPr>
          <w:rFonts w:hint="default" w:ascii="Arial" w:hAnsi="Arial" w:cs="Arial"/>
          <w:sz w:val="28"/>
          <w:szCs w:val="28"/>
          <w:rtl/>
          <w:lang w:bidi="fa-IR"/>
        </w:rPr>
        <w:fldChar w:fldCharType="separate"/>
      </w:r>
      <w:r>
        <w:rPr>
          <w:rFonts w:hint="default" w:ascii="Arial" w:hAnsi="Arial" w:cs="Arial"/>
          <w:sz w:val="28"/>
          <w:szCs w:val="28"/>
          <w:rtl/>
          <w:lang w:bidi="fa-IR"/>
        </w:rPr>
        <w:t>(10, 12)</w:t>
      </w:r>
      <w:r>
        <w:rPr>
          <w:rFonts w:hint="default" w:ascii="Arial" w:hAnsi="Arial" w:cs="Arial"/>
          <w:sz w:val="28"/>
          <w:szCs w:val="28"/>
          <w:rtl/>
          <w:lang w:bidi="fa-IR"/>
        </w:rPr>
        <w:fldChar w:fldCharType="end"/>
      </w:r>
      <w:r>
        <w:rPr>
          <w:rFonts w:hint="default" w:ascii="Arial" w:hAnsi="Arial" w:cs="Arial"/>
          <w:sz w:val="28"/>
          <w:szCs w:val="28"/>
          <w:rtl/>
          <w:lang w:bidi="fa-IR"/>
        </w:rPr>
        <w:t>. یافته های مطالعه ی زیبا و همکاران نیز مشابه یافته های مطالعه ی ما، نشان داد که اختلال بویایی شایع ترین علامت بود. در این مطالعه ارتباط شدت بیماری با علائم گوش و حلق و بینی بررسی نشد که ارزیابی این موضوع از مزیت های مطالعه حال حاضر بود.</w:t>
      </w:r>
    </w:p>
    <w:p w14:paraId="413C9410">
      <w:pPr>
        <w:bidi/>
        <w:spacing w:line="360" w:lineRule="auto"/>
        <w:jc w:val="both"/>
        <w:rPr>
          <w:rFonts w:hint="default" w:ascii="Arial" w:hAnsi="Arial" w:cs="Arial"/>
          <w:sz w:val="28"/>
          <w:szCs w:val="28"/>
          <w:rtl/>
          <w:lang w:bidi="fa-IR"/>
        </w:rPr>
      </w:pPr>
      <w:r>
        <w:rPr>
          <w:rFonts w:hint="default" w:ascii="Arial" w:hAnsi="Arial" w:cs="Arial"/>
          <w:sz w:val="28"/>
          <w:szCs w:val="28"/>
          <w:rtl/>
          <w:lang w:bidi="fa-IR"/>
        </w:rPr>
        <w:t xml:space="preserve">واسنیسکا و همکاران گزارش کردند که شایع‌ترین علائم گوش و حلق و بینی در بیماران کووید-19، اختلالات بویایی/چشایی، سرفه خشک، گلودرد و تنگی نفس بود. اختلالات بویایی و چشایی در بیماران جوان‌تر شایع‌تر بود. جنسیت بر بروز علائم گوش و حلق و بینی تأثیری نداشت. سن بیماران آلوده، برخلاف جنسیت، بر بروز برخی از علائم گوش و حلق و بینی تأثیر می‌گذاشت </w:t>
      </w:r>
      <w:r>
        <w:rPr>
          <w:rFonts w:hint="default" w:ascii="Arial" w:hAnsi="Arial" w:cs="Arial"/>
          <w:sz w:val="28"/>
          <w:szCs w:val="28"/>
          <w:rtl/>
          <w:lang w:bidi="fa-IR"/>
        </w:rPr>
        <w:fldChar w:fldCharType="begin"/>
      </w:r>
      <w:r>
        <w:rPr>
          <w:rFonts w:hint="default" w:ascii="Arial" w:hAnsi="Arial" w:cs="Arial"/>
          <w:sz w:val="28"/>
          <w:szCs w:val="28"/>
          <w:rtl/>
          <w:lang w:bidi="fa-IR"/>
        </w:rPr>
        <w:instrText xml:space="preserve"> </w:instrText>
      </w:r>
      <w:r>
        <w:rPr>
          <w:rFonts w:hint="default" w:ascii="Arial" w:hAnsi="Arial" w:cs="Arial"/>
          <w:sz w:val="28"/>
          <w:szCs w:val="28"/>
          <w:lang w:bidi="fa-IR"/>
        </w:rPr>
        <w:instrText xml:space="preserve">ADDIN EN.CITE &lt;EndNote&gt;&lt;Cite&gt;&lt;Author&gt;Kwaśniewska&lt;/Author&gt;&lt;Year&gt;2023&lt;/Year&gt;&lt;RecNum&gt;3386&lt;/RecNum&gt;&lt;DisplayText&gt;(13)&lt;/DisplayText&gt;&lt;record&gt;&lt;rec-number&gt;3386&lt;/rec-number&gt;&lt;foreign-keys&gt;&lt;key app="EN" db-id="9f2ws2vx0s2xrlew22qvtpt15pwrpzv9fexa" timestamp="1758105</w:instrText>
      </w:r>
      <w:r>
        <w:rPr>
          <w:rFonts w:hint="default" w:ascii="Arial" w:hAnsi="Arial" w:cs="Arial"/>
          <w:sz w:val="28"/>
          <w:szCs w:val="28"/>
          <w:rtl/>
          <w:lang w:bidi="fa-IR"/>
        </w:rPr>
        <w:instrText xml:space="preserve">109"&gt;3386&lt;/</w:instrText>
      </w:r>
      <w:r>
        <w:rPr>
          <w:rFonts w:hint="default" w:ascii="Arial" w:hAnsi="Arial" w:cs="Arial"/>
          <w:sz w:val="28"/>
          <w:szCs w:val="28"/>
          <w:lang w:bidi="fa-IR"/>
        </w:rPr>
        <w:instrText xml:space="preserve">key&gt;&lt;/foreign-keys&gt;&lt;ref-type name="Journal Article"&gt;17&lt;/ref-type&gt;&lt;contributors&gt;&lt;authors&gt;&lt;author&gt;Kwaśniewska, Aleksandra&lt;/author&gt;&lt;author&gt;Kwaśniewski, Krzysztof&lt;/author&gt;&lt;author&gt;Skorek, Andrzej&lt;/author&gt;&lt;author&gt;Tretiakow, Dmitry&lt;/author&gt;&lt;author&gt;Jaźwińska-Curyłło, Anna&lt;/author&gt;&lt;author&gt;Burduk, Paweł&lt;/author&gt;&lt;/authors&gt;&lt;/contributors&gt;&lt;titles&gt;&lt;title&gt;Correlation of ENT symptoms with age, sex, and Anti-SARS-CoV-2 antibody titer in plasma&lt;/title&gt;&lt;secondary-title&gt;Journal of Clinical Medicine&lt;/secondary-title&gt;&lt;/titles&gt;&lt;periodical&gt;&lt;full-title&gt;Journal of Clinical Medicine&lt;/full-title&gt;&lt;/periodical&gt;&lt;pages&gt;610&lt;/pages&gt;&lt;volume&gt;12&lt;/volume&gt;&lt;number&gt;2&lt;/number&gt;&lt;dates&gt;&lt;year&gt;2023&lt;/year&gt;&lt;/dates&gt;&lt;isbn&gt;2077-0383&lt;/isbn&gt;&lt;urls&gt;&lt;/urls&gt;&lt;/record&gt;&lt;/Cite&gt;&lt;/EndNote&gt;</w:instrText>
      </w:r>
      <w:r>
        <w:rPr>
          <w:rFonts w:hint="default" w:ascii="Arial" w:hAnsi="Arial" w:cs="Arial"/>
          <w:sz w:val="28"/>
          <w:szCs w:val="28"/>
          <w:rtl/>
          <w:lang w:bidi="fa-IR"/>
        </w:rPr>
        <w:fldChar w:fldCharType="separate"/>
      </w:r>
      <w:r>
        <w:rPr>
          <w:rFonts w:hint="default" w:ascii="Arial" w:hAnsi="Arial" w:cs="Arial"/>
          <w:sz w:val="28"/>
          <w:szCs w:val="28"/>
          <w:rtl/>
          <w:lang w:bidi="fa-IR"/>
        </w:rPr>
        <w:t>(13)</w:t>
      </w:r>
      <w:r>
        <w:rPr>
          <w:rFonts w:hint="default" w:ascii="Arial" w:hAnsi="Arial" w:cs="Arial"/>
          <w:sz w:val="28"/>
          <w:szCs w:val="28"/>
          <w:rtl/>
          <w:lang w:bidi="fa-IR"/>
        </w:rPr>
        <w:fldChar w:fldCharType="end"/>
      </w:r>
      <w:r>
        <w:rPr>
          <w:rFonts w:hint="default" w:ascii="Arial" w:hAnsi="Arial" w:cs="Arial"/>
          <w:sz w:val="28"/>
          <w:szCs w:val="28"/>
          <w:rtl/>
          <w:lang w:bidi="fa-IR"/>
        </w:rPr>
        <w:t xml:space="preserve">. در مطالعه ی حال حاضر دیده شد که اگرچه ختلال بویایی شایع ترین علامت بود، اما به صورت کلی، سرفه شایع ترین علامت بود که از منظر شایع ترین علامت گوش و حلق و بینی، نتایج مطالعات مشابه بود. در مطالعه ی حال حاضر نیز دیده شد که احتقان بینی، هیپوسمیا و خارش گلو ارتباط معنی داری با سن و جنس بیماران مبتلا به کووید-19 داشتند که یافته های دو مطالعه اگرچه در مورد سن بیماران نسبتا مشابه است، اما در مورد جنسیت بیماران متفاوت است. به نظر می رسد که مطالعات در مورد تاثیر کووید-19 بر روی علائم گوش و حلق و بینی بیماران و علل احتمالی تاثیرپذیری یا عدم تاثیرپذیری این علائم از جنسیت باید در آینده انجام شود زیرا نتایج مطالعات متناقض است. به عنوان مثال، الیبول و همکاران گزارش دادند که بروز علائم گوش و حلق و بینی کووید-19 ارتباط معنی داری با سن و جنس دارد </w:t>
      </w:r>
      <w:r>
        <w:rPr>
          <w:rFonts w:hint="default" w:ascii="Arial" w:hAnsi="Arial" w:cs="Arial"/>
          <w:sz w:val="28"/>
          <w:szCs w:val="28"/>
          <w:rtl/>
          <w:lang w:bidi="fa-IR"/>
        </w:rPr>
        <w:fldChar w:fldCharType="begin"/>
      </w:r>
      <w:r>
        <w:rPr>
          <w:rFonts w:hint="default" w:ascii="Arial" w:hAnsi="Arial" w:cs="Arial"/>
          <w:sz w:val="28"/>
          <w:szCs w:val="28"/>
          <w:rtl/>
          <w:lang w:bidi="fa-IR"/>
        </w:rPr>
        <w:instrText xml:space="preserve"> </w:instrText>
      </w:r>
      <w:r>
        <w:rPr>
          <w:rFonts w:hint="default" w:ascii="Arial" w:hAnsi="Arial" w:cs="Arial"/>
          <w:sz w:val="28"/>
          <w:szCs w:val="28"/>
          <w:lang w:bidi="fa-IR"/>
        </w:rPr>
        <w:instrText xml:space="preserve">ADDIN EN.CITE &lt;EndNote&gt;&lt;Cite&gt;&lt;Author&gt;Elibol&lt;/Author&gt;&lt;Year&gt;2021&lt;/Year&gt;&lt;RecNum&gt;3387&lt;/RecNum&gt;&lt;DisplayText&gt;(14)&lt;/DisplayText&gt;&lt;record&gt;&lt;rec-number&gt;3387&lt;/rec-number&gt;&lt;foreign-keys&gt;&lt;key app="EN" db-id="9f2ws2vx0s2xrlew22qvtpt15pwrpzv9fexa" timestamp="1758105270"&gt;</w:instrText>
      </w:r>
      <w:r>
        <w:rPr>
          <w:rFonts w:hint="default" w:ascii="Arial" w:hAnsi="Arial" w:cs="Arial"/>
          <w:sz w:val="28"/>
          <w:szCs w:val="28"/>
          <w:rtl/>
          <w:lang w:bidi="fa-IR"/>
        </w:rPr>
        <w:instrText xml:space="preserve">3387&lt;/</w:instrText>
      </w:r>
      <w:r>
        <w:rPr>
          <w:rFonts w:hint="default" w:ascii="Arial" w:hAnsi="Arial" w:cs="Arial"/>
          <w:sz w:val="28"/>
          <w:szCs w:val="28"/>
          <w:lang w:bidi="fa-IR"/>
        </w:rPr>
        <w:instrText xml:space="preserve">key&gt;&lt;/foreign-keys&gt;&lt;ref-type name="Journal Article"&gt;17&lt;/ref-type&gt;&lt;contributors&gt;&lt;authors&gt;&lt;author&gt;Elibol, Elif&lt;/author&gt;&lt;/authors&gt;&lt;/contributors&gt;&lt;titles&gt;&lt;title&gt;Otolaryngological symptoms in COVID-19&lt;/title&gt;&lt;secondary-title&gt;European Archives of Oto-Rhino-Laryngology&lt;/secondary-title&gt;&lt;/titles&gt;&lt;periodical&gt;&lt;full-title&gt;European Archives of Oto-Rhino-Laryngology&lt;/full-title&gt;&lt;/periodical&gt;&lt;pages&gt;1233-1236&lt;/pages&gt;&lt;volume&gt;278&lt;/volume&gt;&lt;number&gt;4&lt;/number&gt;&lt;dates&gt;&lt;year&gt;2021&lt;/year&gt;&lt;/dates&gt;&lt;isbn&gt;0937-4477&lt;/isbn&gt;&lt;urls&gt;&lt;</w:instrText>
      </w:r>
      <w:r>
        <w:rPr>
          <w:rFonts w:hint="default" w:ascii="Arial" w:hAnsi="Arial" w:cs="Arial"/>
          <w:sz w:val="28"/>
          <w:szCs w:val="28"/>
          <w:rtl/>
          <w:lang w:bidi="fa-IR"/>
        </w:rPr>
        <w:instrText xml:space="preserve">/</w:instrText>
      </w:r>
      <w:r>
        <w:rPr>
          <w:rFonts w:hint="default" w:ascii="Arial" w:hAnsi="Arial" w:cs="Arial"/>
          <w:sz w:val="28"/>
          <w:szCs w:val="28"/>
          <w:lang w:bidi="fa-IR"/>
        </w:rPr>
        <w:instrText xml:space="preserve">urls&gt;&lt;/record&gt;&lt;/Cite&gt;&lt;/EndNote&gt;</w:instrText>
      </w:r>
      <w:r>
        <w:rPr>
          <w:rFonts w:hint="default" w:ascii="Arial" w:hAnsi="Arial" w:cs="Arial"/>
          <w:sz w:val="28"/>
          <w:szCs w:val="28"/>
          <w:rtl/>
          <w:lang w:bidi="fa-IR"/>
        </w:rPr>
        <w:fldChar w:fldCharType="separate"/>
      </w:r>
      <w:r>
        <w:rPr>
          <w:rFonts w:hint="default" w:ascii="Arial" w:hAnsi="Arial" w:cs="Arial"/>
          <w:sz w:val="28"/>
          <w:szCs w:val="28"/>
          <w:rtl/>
          <w:lang w:bidi="fa-IR"/>
        </w:rPr>
        <w:t>(14)</w:t>
      </w:r>
      <w:r>
        <w:rPr>
          <w:rFonts w:hint="default" w:ascii="Arial" w:hAnsi="Arial" w:cs="Arial"/>
          <w:sz w:val="28"/>
          <w:szCs w:val="28"/>
          <w:rtl/>
          <w:lang w:bidi="fa-IR"/>
        </w:rPr>
        <w:fldChar w:fldCharType="end"/>
      </w:r>
      <w:r>
        <w:rPr>
          <w:rFonts w:hint="default" w:ascii="Arial" w:hAnsi="Arial" w:cs="Arial"/>
          <w:sz w:val="28"/>
          <w:szCs w:val="28"/>
          <w:rtl/>
          <w:lang w:bidi="fa-IR"/>
        </w:rPr>
        <w:t>، که این یافته مشبه مطالعه ی ما و بر خلاف یافته های مطالعه ی واسنیسکا و همکاران است.</w:t>
      </w:r>
    </w:p>
    <w:p w14:paraId="01F77536">
      <w:pPr>
        <w:bidi/>
        <w:spacing w:line="360" w:lineRule="auto"/>
        <w:jc w:val="both"/>
        <w:rPr>
          <w:rFonts w:hint="default" w:ascii="Arial" w:hAnsi="Arial" w:cs="Arial"/>
          <w:sz w:val="28"/>
          <w:szCs w:val="28"/>
          <w:lang w:bidi="fa-IR"/>
        </w:rPr>
      </w:pPr>
      <w:r>
        <w:rPr>
          <w:rFonts w:hint="default" w:ascii="Arial" w:hAnsi="Arial" w:cs="Arial"/>
          <w:sz w:val="28"/>
          <w:szCs w:val="28"/>
          <w:rtl/>
          <w:lang w:bidi="fa-IR"/>
        </w:rPr>
        <w:t xml:space="preserve">همراستا با یافته های ما، کورکماز و همکاران گزارش کردند که اختلال بویایی و چشایی شایع ترین علائم گوش و حلق و بینی در بیماران کووید-19 بود و این علائم با سن و جنس بیماران ارتباط آماری معنی داری داشت </w:t>
      </w:r>
      <w:r>
        <w:rPr>
          <w:rFonts w:hint="default" w:ascii="Arial" w:hAnsi="Arial" w:cs="Arial"/>
          <w:sz w:val="28"/>
          <w:szCs w:val="28"/>
          <w:rtl/>
          <w:lang w:bidi="fa-IR"/>
        </w:rPr>
        <w:fldChar w:fldCharType="begin"/>
      </w:r>
      <w:r>
        <w:rPr>
          <w:rFonts w:hint="default" w:ascii="Arial" w:hAnsi="Arial" w:cs="Arial"/>
          <w:sz w:val="28"/>
          <w:szCs w:val="28"/>
          <w:rtl/>
          <w:lang w:bidi="fa-IR"/>
        </w:rPr>
        <w:instrText xml:space="preserve"> </w:instrText>
      </w:r>
      <w:r>
        <w:rPr>
          <w:rFonts w:hint="default" w:ascii="Arial" w:hAnsi="Arial" w:cs="Arial"/>
          <w:sz w:val="28"/>
          <w:szCs w:val="28"/>
          <w:lang w:bidi="fa-IR"/>
        </w:rPr>
        <w:instrText xml:space="preserve">ADDIN EN.CITE &lt;EndNote&gt;&lt;Cite&gt;&lt;Author&gt;Özçelik Korkmaz&lt;/Author&gt;&lt;Year&gt;2021&lt;/Year&gt;&lt;RecNum&gt;3388&lt;/RecNum&gt;&lt;DisplayText&gt;(15)&lt;/DisplayText&gt;&lt;record&gt;&lt;rec-number&gt;3388&lt;/rec-number&gt;&lt;foreign-keys&gt;&lt;key app="EN" db-id="9f2ws2vx0s2xrlew22qvtpt15pwrpzv9fexa" timestamp="175</w:instrText>
      </w:r>
      <w:r>
        <w:rPr>
          <w:rFonts w:hint="default" w:ascii="Arial" w:hAnsi="Arial" w:cs="Arial"/>
          <w:sz w:val="28"/>
          <w:szCs w:val="28"/>
          <w:rtl/>
          <w:lang w:bidi="fa-IR"/>
        </w:rPr>
        <w:instrText xml:space="preserve">8105426"&gt;3388&lt;/</w:instrText>
      </w:r>
      <w:r>
        <w:rPr>
          <w:rFonts w:hint="default" w:ascii="Arial" w:hAnsi="Arial" w:cs="Arial"/>
          <w:sz w:val="28"/>
          <w:szCs w:val="28"/>
          <w:lang w:bidi="fa-IR"/>
        </w:rPr>
        <w:instrText xml:space="preserve">key&gt;&lt;/foreign-keys&gt;&lt;ref-type name="Journal Article"&gt;17&lt;/ref-type&gt;&lt;contributors&gt;&lt;authors&gt;&lt;author&gt;Özçelik Korkmaz, Müge&lt;/author&gt;&lt;author&gt;Eğilmez, Oğuz Kadir&lt;/author&gt;&lt;author&gt;Özçelik, Muhammet Ali&lt;/author&gt;&lt;author&gt;Güven, Mehmet&lt;/author&gt;&lt;/authors&gt;</w:instrText>
      </w:r>
      <w:r>
        <w:rPr>
          <w:rFonts w:hint="default" w:ascii="Arial" w:hAnsi="Arial" w:cs="Arial"/>
          <w:sz w:val="28"/>
          <w:szCs w:val="28"/>
          <w:rtl/>
          <w:lang w:bidi="fa-IR"/>
        </w:rPr>
        <w:instrText xml:space="preserve">&lt;/</w:instrText>
      </w:r>
      <w:r>
        <w:rPr>
          <w:rFonts w:hint="default" w:ascii="Arial" w:hAnsi="Arial" w:cs="Arial"/>
          <w:sz w:val="28"/>
          <w:szCs w:val="28"/>
          <w:lang w:bidi="fa-IR"/>
        </w:rPr>
        <w:instrText xml:space="preserve">contributors&gt;&lt;titles&gt;&lt;title&gt;Otolaryngological manifestations of hospitalised patients with confirmed COVID-19 infection&lt;/title&gt;&lt;secondary-title&gt;European Archives of Oto-Rhino-Laryngology&lt;/secondary-title&gt;&lt;/titles&gt;&lt;periodical&gt;&lt;full-title&gt;European Archives of Oto-Rhino-Laryngology&lt;/full-title&gt;&lt;/periodical&gt;&lt;pages&gt;1675-1685&lt;/pages&gt;&lt;volume&gt;278&lt;/volume&gt;&lt;number&gt;5&lt;/number&gt;&lt;dates&gt;&lt;year&gt;2021&lt;/year&gt;&lt;/dates&gt;&lt;isbn&gt;0937-4477&lt;/isbn&gt;&lt;urls&gt;&lt;/urls&gt;&lt;/record&gt;&lt;/Cite&gt;&lt;/EndNote&gt;</w:instrText>
      </w:r>
      <w:r>
        <w:rPr>
          <w:rFonts w:hint="default" w:ascii="Arial" w:hAnsi="Arial" w:cs="Arial"/>
          <w:sz w:val="28"/>
          <w:szCs w:val="28"/>
          <w:rtl/>
          <w:lang w:bidi="fa-IR"/>
        </w:rPr>
        <w:fldChar w:fldCharType="separate"/>
      </w:r>
      <w:r>
        <w:rPr>
          <w:rFonts w:hint="default" w:ascii="Arial" w:hAnsi="Arial" w:cs="Arial"/>
          <w:sz w:val="28"/>
          <w:szCs w:val="28"/>
          <w:rtl/>
          <w:lang w:bidi="fa-IR"/>
        </w:rPr>
        <w:t>(15)</w:t>
      </w:r>
      <w:r>
        <w:rPr>
          <w:rFonts w:hint="default" w:ascii="Arial" w:hAnsi="Arial" w:cs="Arial"/>
          <w:sz w:val="28"/>
          <w:szCs w:val="28"/>
          <w:rtl/>
          <w:lang w:bidi="fa-IR"/>
        </w:rPr>
        <w:fldChar w:fldCharType="end"/>
      </w:r>
      <w:r>
        <w:rPr>
          <w:rFonts w:hint="default" w:ascii="Arial" w:hAnsi="Arial" w:cs="Arial"/>
          <w:sz w:val="28"/>
          <w:szCs w:val="28"/>
          <w:rtl/>
          <w:lang w:bidi="fa-IR"/>
        </w:rPr>
        <w:t>. اگرچه این یافته نیز تائید کننده ی یافته های مطالعه ی ما است، اما با توجه به محدودیت مطالعات در این زمینه، به نظر می رسد برای گرفتن نتایج قطعی، همچنان به مطالعات بیشتری نیاز است.</w:t>
      </w:r>
    </w:p>
    <w:p w14:paraId="1798AC16">
      <w:pPr>
        <w:bidi/>
        <w:spacing w:line="360" w:lineRule="auto"/>
        <w:jc w:val="both"/>
        <w:rPr>
          <w:rFonts w:hint="default" w:ascii="Arial" w:hAnsi="Arial" w:cs="Arial"/>
          <w:sz w:val="28"/>
          <w:szCs w:val="28"/>
          <w:rtl/>
          <w:lang w:bidi="fa-IR"/>
        </w:rPr>
      </w:pPr>
      <w:r>
        <w:rPr>
          <w:rFonts w:hint="default" w:ascii="Arial" w:hAnsi="Arial" w:cs="Arial"/>
          <w:sz w:val="28"/>
          <w:szCs w:val="28"/>
          <w:rtl/>
          <w:lang w:bidi="fa-IR"/>
        </w:rPr>
        <w:t xml:space="preserve">در مطالعه ی ما دیده شد که شدت بیماری با سن بیماران در ارتباط بود و همچنین بیمارانی که بیماری شدید تری داشتند، مدت زمان بستری طولانی تری داشتند که مطالعات قبلی نیز نشان دهنده ی یافته های مطالعه ی ما بود </w:t>
      </w:r>
      <w:r>
        <w:rPr>
          <w:rFonts w:hint="default" w:ascii="Arial" w:hAnsi="Arial" w:cs="Arial"/>
          <w:sz w:val="28"/>
          <w:szCs w:val="28"/>
          <w:rtl/>
          <w:lang w:bidi="fa-IR"/>
        </w:rPr>
        <w:fldChar w:fldCharType="begin">
          <w:fldData xml:space="preserve">PEVuZE5vdGU+PENpdGU+PEF1dGhvcj5CYXJlazwvQXV0aG9yPjxZZWFyPjIwMjA8L1llYXI+PFJl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</w:fldData>
        </w:fldChar>
      </w:r>
      <w:r>
        <w:rPr>
          <w:rFonts w:hint="default" w:ascii="Arial" w:hAnsi="Arial" w:cs="Arial"/>
          <w:sz w:val="28"/>
          <w:szCs w:val="28"/>
          <w:rtl/>
          <w:lang w:bidi="fa-IR"/>
        </w:rPr>
        <w:instrText xml:space="preserve"> </w:instrText>
      </w:r>
      <w:r>
        <w:rPr>
          <w:rFonts w:hint="default" w:ascii="Arial" w:hAnsi="Arial" w:cs="Arial"/>
          <w:sz w:val="28"/>
          <w:szCs w:val="28"/>
          <w:lang w:bidi="fa-IR"/>
        </w:rPr>
        <w:instrText xml:space="preserve">ADDIN EN.CITE </w:instrText>
      </w:r>
      <w:r>
        <w:rPr>
          <w:rFonts w:hint="default" w:ascii="Arial" w:hAnsi="Arial" w:cs="Arial"/>
          <w:sz w:val="28"/>
          <w:szCs w:val="28"/>
          <w:lang w:bidi="fa-IR"/>
        </w:rPr>
        <w:fldChar w:fldCharType="begin">
          <w:fldData xml:space="preserve">PEVuZE5vdGU+PENpdGU+PEF1dGhvcj5CYXJlazwvQXV0aG9yPjxZZWFyPjIwMjA8L1llYXI+PFJl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</w:fldData>
        </w:fldChar>
      </w:r>
      <w:r>
        <w:rPr>
          <w:rFonts w:hint="default" w:ascii="Arial" w:hAnsi="Arial" w:cs="Arial"/>
          <w:sz w:val="28"/>
          <w:szCs w:val="28"/>
          <w:lang w:bidi="fa-IR"/>
        </w:rPr>
        <w:instrText xml:space="preserve"> ADDIN EN.CITE.DATA </w:instrText>
      </w:r>
      <w:r>
        <w:rPr>
          <w:rFonts w:hint="default" w:ascii="Arial" w:hAnsi="Arial" w:cs="Arial"/>
          <w:sz w:val="28"/>
          <w:szCs w:val="28"/>
          <w:lang w:bidi="fa-IR"/>
        </w:rPr>
        <w:fldChar w:fldCharType="end"/>
      </w:r>
      <w:r>
        <w:rPr>
          <w:rFonts w:hint="default" w:ascii="Arial" w:hAnsi="Arial" w:cs="Arial"/>
          <w:sz w:val="28"/>
          <w:szCs w:val="28"/>
          <w:rtl/>
          <w:lang w:bidi="fa-IR"/>
        </w:rPr>
        <w:fldChar w:fldCharType="separate"/>
      </w:r>
      <w:r>
        <w:rPr>
          <w:rFonts w:hint="default" w:ascii="Arial" w:hAnsi="Arial" w:cs="Arial"/>
          <w:sz w:val="28"/>
          <w:szCs w:val="28"/>
          <w:rtl/>
          <w:lang w:bidi="fa-IR"/>
        </w:rPr>
        <w:t>(16-18)</w:t>
      </w:r>
      <w:r>
        <w:rPr>
          <w:rFonts w:hint="default" w:ascii="Arial" w:hAnsi="Arial" w:cs="Arial"/>
          <w:sz w:val="28"/>
          <w:szCs w:val="28"/>
          <w:rtl/>
          <w:lang w:bidi="fa-IR"/>
        </w:rPr>
        <w:fldChar w:fldCharType="end"/>
      </w:r>
      <w:r>
        <w:rPr>
          <w:rFonts w:hint="default" w:ascii="Arial" w:hAnsi="Arial" w:cs="Arial"/>
          <w:sz w:val="28"/>
          <w:szCs w:val="28"/>
          <w:rtl/>
          <w:lang w:bidi="fa-IR"/>
        </w:rPr>
        <w:t>.</w:t>
      </w:r>
    </w:p>
    <w:p w14:paraId="222FF791">
      <w:pPr>
        <w:bidi/>
        <w:spacing w:line="360" w:lineRule="auto"/>
        <w:jc w:val="both"/>
        <w:rPr>
          <w:rFonts w:hint="default" w:ascii="Arial" w:hAnsi="Arial" w:cs="Arial"/>
          <w:sz w:val="28"/>
          <w:szCs w:val="28"/>
          <w:rtl/>
          <w:lang w:bidi="fa-IR"/>
        </w:rPr>
      </w:pPr>
      <w:r>
        <w:rPr>
          <w:rFonts w:hint="default" w:ascii="Arial" w:hAnsi="Arial" w:cs="Arial"/>
          <w:sz w:val="28"/>
          <w:szCs w:val="28"/>
          <w:rtl/>
          <w:lang w:bidi="fa-IR"/>
        </w:rPr>
        <w:t>از مزایای مطالعه ی ما این بود که به بررسی ارتباط تظاهرات گوش و حلق و بینی در کووید-19 با شدت بیماری پرداخت که در مطالعات محدودی به این موضوع پرداخته شده بود. از محدودیت های مطالعه ی حال حاضر نیز می توان به گذشته نگر بودن مطالعه و محدودیت در حجم نمونه اشاره کرد که با توجه به پایان پاندمی کووید-19، می توان توصیه نمود که در آینده مطالعات به صورت چند مرکزی برای ارزیابی ارتباط بین شدت بیماری با علائم گوش و حلق و بینی انجام شود.</w:t>
      </w:r>
    </w:p>
    <w:p w14:paraId="564701BC">
      <w:pPr>
        <w:bidi/>
        <w:spacing w:line="360" w:lineRule="auto"/>
        <w:jc w:val="both"/>
        <w:rPr>
          <w:rFonts w:hint="default" w:ascii="Arial" w:hAnsi="Arial" w:cs="Arial"/>
          <w:sz w:val="28"/>
          <w:szCs w:val="28"/>
          <w:rtl/>
          <w:lang w:bidi="fa-IR"/>
        </w:rPr>
      </w:pPr>
    </w:p>
    <w:p w14:paraId="1B1A04E4">
      <w:pPr>
        <w:bidi/>
        <w:spacing w:line="360" w:lineRule="auto"/>
        <w:jc w:val="both"/>
        <w:rPr>
          <w:rFonts w:hint="default" w:ascii="Arial" w:hAnsi="Arial" w:cs="Arial"/>
          <w:b/>
          <w:bCs/>
          <w:sz w:val="28"/>
          <w:szCs w:val="28"/>
          <w:rtl/>
          <w:lang w:bidi="fa-IR"/>
        </w:rPr>
      </w:pPr>
      <w:r>
        <w:rPr>
          <w:rFonts w:hint="default" w:ascii="Arial" w:hAnsi="Arial" w:cs="Arial"/>
          <w:b/>
          <w:bCs/>
          <w:sz w:val="28"/>
          <w:szCs w:val="28"/>
          <w:rtl/>
          <w:lang w:bidi="fa-IR"/>
        </w:rPr>
        <w:t>نتیجه گیری</w:t>
      </w:r>
    </w:p>
    <w:p w14:paraId="73EA8B72">
      <w:pPr>
        <w:bidi/>
        <w:spacing w:line="360" w:lineRule="auto"/>
        <w:jc w:val="both"/>
        <w:rPr>
          <w:rFonts w:hint="default" w:ascii="Arial" w:hAnsi="Arial" w:cs="Arial"/>
          <w:sz w:val="28"/>
          <w:szCs w:val="28"/>
          <w:rtl/>
          <w:lang w:bidi="fa-IR"/>
        </w:rPr>
      </w:pPr>
      <w:r>
        <w:rPr>
          <w:rFonts w:hint="default" w:ascii="Arial" w:hAnsi="Arial" w:cs="Arial"/>
          <w:sz w:val="28"/>
          <w:szCs w:val="28"/>
          <w:rtl/>
          <w:lang w:bidi="fa-IR"/>
        </w:rPr>
        <w:t>اینگونه نتیجه گیری می شود که  علائم گوش، حلق و بینی در بیماران مبتلا به کووید-۱۹ از شیوع بالایی برخوردار هستند و برخی از این علائم (مانند دیسفاژی، خونریزی بینی، هیپوسمیا و وزوز گوش) با شدت بیماری ارتباط معناداری دارند. همچنین، ارتباط برخی علائم با سن بیماران نیز مشاهده شد که می‌تواند در درک بهتر مکانیسم بیماری و مدیریت علائم در بیماران با سنین مختلف کمک‌کننده باشد. با توجه به تأثیر برخی علائم بر شدت بیماری، پایش دقیق بیماران دارای این علائم و ارائه مراقبت‌های مناسب می‌تواند در کاهش عوارض و بهبود پیش‌آگهی بیماران مؤثر باشد.</w:t>
      </w:r>
    </w:p>
    <w:p w14:paraId="70D271F8">
      <w:pPr>
        <w:bidi/>
        <w:spacing w:line="360" w:lineRule="auto"/>
        <w:jc w:val="both"/>
        <w:rPr>
          <w:rFonts w:hint="cs" w:ascii="Times New Roman" w:hAnsi="Times New Roman" w:cs="B Nazanin"/>
          <w:sz w:val="28"/>
          <w:szCs w:val="28"/>
          <w:rtl/>
          <w:lang w:bidi="fa-IR"/>
        </w:rPr>
      </w:pPr>
    </w:p>
    <w:p w14:paraId="1C7920CB">
      <w:pPr>
        <w:bidi/>
        <w:spacing w:line="360" w:lineRule="auto"/>
        <w:jc w:val="right"/>
        <w:rPr>
          <w:rFonts w:ascii="Times New Roman" w:hAnsi="Times New Roman" w:cs="B Nazanin"/>
          <w:sz w:val="28"/>
          <w:szCs w:val="28"/>
          <w:rtl/>
          <w:lang w:bidi="fa-IR"/>
        </w:rPr>
      </w:pPr>
      <w:r>
        <w:rPr>
          <w:rFonts w:hint="cs" w:ascii="Times New Roman" w:hAnsi="Times New Roman" w:cs="B Nazanin"/>
          <w:sz w:val="28"/>
          <w:szCs w:val="28"/>
          <w:rtl/>
          <w:lang w:bidi="fa-IR"/>
        </w:rPr>
        <w:t>منابع</w:t>
      </w:r>
    </w:p>
    <w:p w14:paraId="739DD950">
      <w:pPr>
        <w:pStyle w:val="10"/>
        <w:bidi/>
        <w:spacing w:after="0"/>
        <w:jc w:val="right"/>
      </w:pPr>
      <w:r>
        <w:rPr>
          <w:rFonts w:ascii="Times New Roman" w:hAnsi="Times New Roman" w:cs="B Nazanin"/>
          <w:sz w:val="28"/>
          <w:szCs w:val="28"/>
          <w:rtl/>
        </w:rPr>
        <w:fldChar w:fldCharType="begin"/>
      </w:r>
      <w:r>
        <w:rPr>
          <w:rFonts w:ascii="Times New Roman" w:hAnsi="Times New Roman" w:cs="B Nazanin"/>
          <w:sz w:val="28"/>
          <w:szCs w:val="28"/>
          <w:rtl/>
        </w:rPr>
        <w:instrText xml:space="preserve"> </w:instrText>
      </w:r>
      <w:r>
        <w:rPr>
          <w:rFonts w:ascii="Times New Roman" w:hAnsi="Times New Roman" w:cs="B Nazanin"/>
          <w:sz w:val="28"/>
          <w:szCs w:val="28"/>
        </w:rPr>
        <w:instrText xml:space="preserve">ADDIN EN.REFLIST </w:instrText>
      </w:r>
      <w:r>
        <w:rPr>
          <w:rFonts w:ascii="Times New Roman" w:hAnsi="Times New Roman" w:cs="B Nazanin"/>
          <w:sz w:val="28"/>
          <w:szCs w:val="28"/>
          <w:rtl/>
        </w:rPr>
        <w:fldChar w:fldCharType="separate"/>
      </w:r>
      <w:r>
        <w:rPr>
          <w:rtl/>
        </w:rPr>
        <w:tab/>
      </w:r>
      <w:r>
        <w:rPr>
          <w:rFonts w:hint="default"/>
          <w:rtl w:val="0"/>
          <w:lang w:val="en-US"/>
        </w:rPr>
        <w:t>1.</w:t>
      </w:r>
      <w:r>
        <w:t>Mannelli G, Ralli M, Bonali M, Capasso P, Guarino P, Iannini V, et al. Impact of COVID-19 pandemic on Italian Otolaryngology Units: a nationwide study. ACTA Otorhinolaryngologica Italica. 2020;40(5):325</w:t>
      </w:r>
    </w:p>
    <w:p w14:paraId="79BC60AD">
      <w:pPr>
        <w:pStyle w:val="10"/>
        <w:bidi/>
        <w:spacing w:after="0"/>
        <w:jc w:val="right"/>
        <w:rPr>
          <w:rtl/>
        </w:rPr>
      </w:pPr>
    </w:p>
    <w:p w14:paraId="128AB25E">
      <w:pPr>
        <w:pStyle w:val="10"/>
        <w:bidi/>
        <w:spacing w:after="0"/>
        <w:jc w:val="right"/>
      </w:pPr>
      <w:r>
        <w:rPr>
          <w:rtl/>
        </w:rPr>
        <w:tab/>
      </w:r>
      <w:r>
        <w:rPr>
          <w:rFonts w:hint="default"/>
          <w:rtl w:val="0"/>
          <w:lang w:val="en-US"/>
        </w:rPr>
        <w:t>2.</w:t>
      </w:r>
      <w:r>
        <w:t>Wu Z, McGoogan JM. Characteristics of and important lessons from the coronavirus disease 2019 (COVID-19) outbreak in China: summary of a report of 72 314 cases from the Chinese Center for Disease Control and Prevention. jama. 2020;323(13):1239-42.</w:t>
      </w:r>
    </w:p>
    <w:p w14:paraId="11E89BA4">
      <w:pPr>
        <w:pStyle w:val="10"/>
        <w:bidi/>
        <w:spacing w:after="0"/>
        <w:jc w:val="right"/>
        <w:rPr>
          <w:rtl/>
        </w:rPr>
      </w:pPr>
    </w:p>
    <w:p w14:paraId="0CADFA03">
      <w:pPr>
        <w:pStyle w:val="10"/>
        <w:bidi/>
        <w:spacing w:after="0"/>
        <w:jc w:val="right"/>
        <w:rPr>
          <w:rtl/>
        </w:rPr>
      </w:pPr>
      <w:r>
        <w:rPr>
          <w:rtl/>
        </w:rPr>
        <w:tab/>
      </w:r>
    </w:p>
    <w:p w14:paraId="0399B737">
      <w:pPr>
        <w:pStyle w:val="10"/>
        <w:bidi/>
        <w:spacing w:after="0"/>
        <w:jc w:val="right"/>
      </w:pPr>
      <w:r>
        <w:t>Nuzzo JB, Gostin LO. The first 2 years of COVID-1</w:t>
      </w:r>
      <w:r>
        <w:rPr>
          <w:rtl/>
        </w:rPr>
        <w:t xml:space="preserve">9: </w:t>
      </w:r>
      <w:r>
        <w:rPr>
          <w:rFonts w:hint="default"/>
          <w:rtl w:val="0"/>
          <w:lang w:val="en-US"/>
        </w:rPr>
        <w:t>3.</w:t>
      </w:r>
      <w:r>
        <w:t>lessons to improve preparedness for the next pandemic. JAMA. 2022;327(3):217-8.</w:t>
      </w:r>
      <w:r>
        <w:rPr>
          <w:rtl/>
        </w:rPr>
        <w:t>.</w:t>
      </w:r>
      <w:r>
        <w:rPr>
          <w:rtl/>
        </w:rPr>
        <w:tab/>
      </w:r>
      <w:r>
        <w:rPr>
          <w:rFonts w:hint="default"/>
          <w:rtl w:val="0"/>
          <w:lang w:val="en-US"/>
        </w:rPr>
        <w:t>4.</w:t>
      </w:r>
      <w:r>
        <w:t>Bianco MR, Modica DM, Drago GD, Azzolina A, Mattina G, De Natale M, et al. Alteration of smell and taste in asymptomatic and symptomatic COVID-19 patients in Sicily, Italy. Ear, Nose &amp; Throat Journal. 2021;100(2_suppl):182S-5S.</w:t>
      </w:r>
    </w:p>
    <w:p w14:paraId="06488048">
      <w:pPr>
        <w:pStyle w:val="10"/>
        <w:bidi/>
        <w:spacing w:after="0"/>
        <w:jc w:val="right"/>
        <w:rPr>
          <w:rtl/>
        </w:rPr>
      </w:pPr>
    </w:p>
    <w:p w14:paraId="53E22267">
      <w:pPr>
        <w:pStyle w:val="10"/>
        <w:bidi/>
        <w:spacing w:after="0"/>
        <w:jc w:val="right"/>
        <w:rPr>
          <w:rtl/>
        </w:rPr>
      </w:pPr>
      <w:r>
        <w:rPr>
          <w:rtl/>
        </w:rPr>
        <w:tab/>
      </w:r>
      <w:r>
        <w:rPr>
          <w:rFonts w:hint="default"/>
          <w:rtl w:val="0"/>
          <w:lang w:val="en-US"/>
        </w:rPr>
        <w:t>5.</w:t>
      </w:r>
      <w:r>
        <w:t>Excellence C. COVID-19 rapid guideline: managing the long-term effects of COVID-19. NG188. 2020.</w:t>
      </w:r>
      <w:r>
        <w:rPr>
          <w:rtl/>
        </w:rPr>
        <w:t>.</w:t>
      </w:r>
      <w:r>
        <w:rPr>
          <w:rtl/>
        </w:rPr>
        <w:tab/>
      </w:r>
      <w:r>
        <w:rPr>
          <w:rFonts w:hint="default"/>
          <w:rtl w:val="0"/>
          <w:lang w:val="en-US"/>
        </w:rPr>
        <w:t>6.</w:t>
      </w:r>
      <w:r>
        <w:t>Sharma A, Jakhar RK, Kakkar V, Singal G. Persistent ENT Manifestations in Individuals who Recovered from COVID-19: A Systematic Review. International Archives of Otorhinolaryngology. 2024;28(04):e697-e701.</w:t>
      </w:r>
      <w:r>
        <w:rPr>
          <w:rtl/>
        </w:rPr>
        <w:t>.</w:t>
      </w:r>
      <w:r>
        <w:rPr>
          <w:rtl/>
        </w:rPr>
        <w:tab/>
      </w:r>
      <w:r>
        <w:rPr>
          <w:rFonts w:hint="default"/>
          <w:rtl w:val="0"/>
          <w:lang w:val="en-US"/>
        </w:rPr>
        <w:t>7.</w:t>
      </w:r>
      <w:r>
        <w:t>Borah H, Das S, Goswami A. Otorhinolaryngological manifestations and its management in COVID 19 patients. Indian Journal of Otolaryngology and Head &amp; Neck Surgery. 2022;74(Suppl 2):3391-4.</w:t>
      </w:r>
      <w:r>
        <w:rPr>
          <w:rtl/>
        </w:rPr>
        <w:t>.</w:t>
      </w:r>
      <w:r>
        <w:rPr>
          <w:rtl/>
        </w:rPr>
        <w:tab/>
      </w:r>
      <w:r>
        <w:rPr>
          <w:rFonts w:hint="default"/>
          <w:rtl w:val="0"/>
          <w:lang w:val="en-US"/>
        </w:rPr>
        <w:t>8.</w:t>
      </w:r>
      <w:r>
        <w:t>Wang Y, Wang Y, Chen Y, Qin Q. Unique epidemiological and clinical features of the emerging 2019 novel coronavirus pneumonia (COVID‐19) implicate special control measures. Journal of medical virology. 2</w:t>
      </w:r>
      <w:r>
        <w:rPr>
          <w:rtl/>
        </w:rPr>
        <w:t>020;92(6):568-76..</w:t>
      </w:r>
      <w:r>
        <w:rPr>
          <w:rtl/>
        </w:rPr>
        <w:tab/>
      </w:r>
      <w:r>
        <w:rPr>
          <w:rFonts w:hint="default"/>
          <w:rtl w:val="0"/>
          <w:lang w:val="en-US"/>
        </w:rPr>
        <w:t>9.</w:t>
      </w:r>
      <w:r>
        <w:t>Li Lq, Huang T, Wang Yq, Wang Zp, Liang Y, Huang Tb, et al. COVID‐19 patients' clinical characteristics, discharge rate, and fatality rate of meta‐analysis. Journal of medical virology. 2020;92(6):577-83.</w:t>
      </w:r>
      <w:r>
        <w:rPr>
          <w:rtl/>
        </w:rPr>
        <w:t>.</w:t>
      </w:r>
      <w:r>
        <w:rPr>
          <w:rtl/>
        </w:rPr>
        <w:tab/>
      </w:r>
      <w:r>
        <w:rPr>
          <w:rFonts w:hint="default"/>
          <w:rtl w:val="0"/>
          <w:lang w:val="en-US"/>
        </w:rPr>
        <w:t>10.</w:t>
      </w:r>
      <w:r>
        <w:t>Vaira LA, Salzano G, Deiana G, De Riu G. Anosmia and ageusia: common findings in COVID‐19 patients. The Laryngoscope. 2020;130(7):1787-.</w:t>
      </w:r>
      <w:r>
        <w:rPr>
          <w:rtl/>
        </w:rPr>
        <w:t>.</w:t>
      </w:r>
      <w:r>
        <w:rPr>
          <w:rtl/>
        </w:rPr>
        <w:tab/>
      </w:r>
      <w:r>
        <w:rPr>
          <w:rFonts w:hint="default"/>
          <w:rtl w:val="0"/>
          <w:lang w:val="en-US"/>
        </w:rPr>
        <w:t>11.</w:t>
      </w:r>
      <w:r>
        <w:t>Zięba N, Lisowska G, Dadok A, Kaczmarek J, Stryjewska-Makuch G, Misiołek M. Frequency and severity of ear–nose–throat (ENT) symptoms during</w:t>
      </w:r>
      <w:r>
        <w:rPr>
          <w:rtl/>
        </w:rPr>
        <w:t xml:space="preserve"> </w:t>
      </w:r>
      <w:r>
        <w:t>COVID-19 infection. Medicina. 2022;58(5):623.</w:t>
      </w:r>
      <w:r>
        <w:rPr>
          <w:rtl/>
        </w:rPr>
        <w:t>.</w:t>
      </w:r>
      <w:r>
        <w:rPr>
          <w:rtl/>
        </w:rPr>
        <w:tab/>
      </w:r>
      <w:r>
        <w:rPr>
          <w:rFonts w:hint="default"/>
          <w:rtl w:val="0"/>
          <w:lang w:val="en-US"/>
        </w:rPr>
        <w:t>12.</w:t>
      </w:r>
      <w:r>
        <w:t>Passali GC, Bentivoglio AR. Comment to the article “Olfactory and gustatory dysfunctions as a clinical presentation of mild-to-moderate forms of the coronavirus disease (COVID-19): a multicenter European study”. European Archives of Oto-Rhino-Laryngology. 2020;277(8):2391-2.</w:t>
      </w:r>
      <w:r>
        <w:rPr>
          <w:rtl/>
        </w:rPr>
        <w:t>.</w:t>
      </w:r>
      <w:r>
        <w:rPr>
          <w:rtl/>
        </w:rPr>
        <w:tab/>
      </w:r>
      <w:r>
        <w:rPr>
          <w:rFonts w:hint="default"/>
          <w:rtl w:val="0"/>
          <w:lang w:val="en-US"/>
        </w:rPr>
        <w:t>13</w:t>
      </w:r>
      <w:r>
        <w:t>Kwaśniewska A, Kwaśniewski K, Skorek A, Tretiakow D, Jaźwińska-Curyłło A, Burduk P. Correlation of ENT symptoms with age, sex, and Anti-SARS-CoV-2 antibody titer in plasma. Journal of Clinical Medicine. 2023;12(2):610.</w:t>
      </w:r>
      <w:r>
        <w:rPr>
          <w:rtl/>
        </w:rPr>
        <w:t>.</w:t>
      </w:r>
      <w:r>
        <w:rPr>
          <w:rtl/>
        </w:rPr>
        <w:tab/>
      </w:r>
      <w:r>
        <w:rPr>
          <w:rFonts w:hint="default"/>
          <w:rtl w:val="0"/>
          <w:lang w:val="en-US"/>
        </w:rPr>
        <w:t>14.</w:t>
      </w:r>
      <w:r>
        <w:t>Elibol E. Otolaryngological symptoms in COVID-19. European Archives of Oto-Rhino-Laryngology. 2021;278(4):1233-6.</w:t>
      </w:r>
      <w:r>
        <w:rPr>
          <w:rtl/>
        </w:rPr>
        <w:t>.</w:t>
      </w:r>
      <w:r>
        <w:rPr>
          <w:rtl/>
        </w:rPr>
        <w:tab/>
      </w:r>
      <w:r>
        <w:rPr>
          <w:rFonts w:hint="default"/>
          <w:rtl w:val="0"/>
          <w:lang w:val="en-US"/>
        </w:rPr>
        <w:t>15.</w:t>
      </w:r>
      <w:r>
        <w:t>Özçelik Korkmaz M, Eğilmez OK, Özçelik MA, Güven M. Otolaryngological manifestations of hospitalised patients with confirmed COVID-19 infection. European Archives of Oto-Rhino-Laryngology. 2021;278(5):1675-85</w:t>
      </w:r>
      <w:r>
        <w:rPr>
          <w:rtl/>
        </w:rPr>
        <w:t>.</w:t>
      </w:r>
      <w:r>
        <w:rPr>
          <w:rtl/>
        </w:rPr>
        <w:tab/>
      </w:r>
      <w:r>
        <w:rPr>
          <w:rFonts w:hint="default"/>
          <w:rtl w:val="0"/>
          <w:lang w:val="en-US"/>
        </w:rPr>
        <w:t>16.</w:t>
      </w:r>
      <w:r>
        <w:t>Barek MA, Aziz MA, Islam MS. Impact of age, sex, comorbidities and clinical symptoms on the severity of COVID-19 cases: A meta-analysis with 55 studies and 10014 cases. Heliyon. 2020;6(12).</w:t>
      </w:r>
      <w:r>
        <w:rPr>
          <w:rtl/>
        </w:rPr>
        <w:t>.</w:t>
      </w:r>
      <w:r>
        <w:rPr>
          <w:rtl/>
        </w:rPr>
        <w:tab/>
      </w:r>
      <w:r>
        <w:rPr>
          <w:rFonts w:hint="default"/>
          <w:rtl w:val="0"/>
          <w:lang w:val="en-US"/>
        </w:rPr>
        <w:t>17.</w:t>
      </w:r>
      <w:r>
        <w:t>Zhou F, Yu T, Du R, Fan G, Liu Y, Liu Z, et al. Clinical course and risk factors for mortality of adult inpatients with COVID-19 in Wuhan, China: a retrospective cohort study. The lancet. 2020;39</w:t>
      </w:r>
      <w:r>
        <w:rPr>
          <w:rtl/>
        </w:rPr>
        <w:t>5(10229):1054-62..</w:t>
      </w:r>
      <w:r>
        <w:rPr>
          <w:rtl/>
        </w:rPr>
        <w:tab/>
      </w:r>
      <w:r>
        <w:rPr>
          <w:rFonts w:hint="default"/>
          <w:rtl w:val="0"/>
          <w:lang w:val="en-US"/>
        </w:rPr>
        <w:t>18.</w:t>
      </w:r>
      <w:r>
        <w:t>Cummings MJ, Baldwin MR, Abrams D, Jacobson SD, Meyer BJ, Balough EM, et al. Epidemiology, clinical course, and outcomes of critically ill adults with COVID-19 in New York City: a prospective cohort study. The lancet. 2020;395(10239)</w:t>
      </w:r>
      <w:r>
        <w:rPr>
          <w:rtl/>
        </w:rPr>
        <w:t>:1763-70.</w:t>
      </w:r>
    </w:p>
    <w:p w14:paraId="71562ABD">
      <w:pPr>
        <w:bidi/>
        <w:spacing w:line="360" w:lineRule="auto"/>
        <w:jc w:val="right"/>
        <w:rPr>
          <w:rFonts w:ascii="Times New Roman" w:hAnsi="Times New Roman" w:cs="B Nazanin"/>
          <w:sz w:val="28"/>
          <w:szCs w:val="28"/>
          <w:rtl/>
        </w:rPr>
      </w:pPr>
      <w:r>
        <w:rPr>
          <w:rFonts w:ascii="Times New Roman" w:hAnsi="Times New Roman" w:cs="B Nazanin"/>
          <w:sz w:val="28"/>
          <w:szCs w:val="28"/>
          <w:rtl/>
        </w:rPr>
        <w:fldChar w:fldCharType="end"/>
      </w:r>
    </w:p>
    <w:p w14:paraId="6CBE1B69">
      <w:pPr>
        <w:bidi/>
        <w:spacing w:line="360" w:lineRule="auto"/>
        <w:jc w:val="both"/>
        <w:rPr>
          <w:rFonts w:ascii="Times New Roman" w:hAnsi="Times New Roman" w:cs="B Nazanin"/>
          <w:sz w:val="28"/>
          <w:szCs w:val="28"/>
          <w:rtl/>
        </w:rPr>
      </w:pPr>
      <w:bookmarkStart w:id="0" w:name="_GoBack"/>
      <w:bookmarkEnd w:id="0"/>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CIDFont">
    <w:altName w:val="Segoe Print"/>
    <w:panose1 w:val="00000000000000000000"/>
    <w:charset w:val="00"/>
    <w:family w:val="auto"/>
    <w:pitch w:val="default"/>
    <w:sig w:usb0="00000000" w:usb1="00000000" w:usb2="00000000" w:usb3="00000000" w:csb0="00000000" w:csb1="00000000"/>
  </w:font>
  <w:font w:name="B Nazanin">
    <w:panose1 w:val="00000400000000000000"/>
    <w:charset w:val="B2"/>
    <w:family w:val="auto"/>
    <w:pitch w:val="default"/>
    <w:sig w:usb0="00006000" w:usb1="80000000" w:usb2="00000008" w:usb3="00000000" w:csb0="00000040" w:csb1="00000000"/>
  </w:font>
  <w:font w:name="serif">
    <w:altName w:val="Segoe Print"/>
    <w:panose1 w:val="00000000000000000000"/>
    <w:charset w:val="00"/>
    <w:family w:val="auto"/>
    <w:pitch w:val="default"/>
    <w:sig w:usb0="00000000" w:usb1="00000000" w:usb2="00000000" w:usb3="00000000" w:csb0="00000000" w:csb1="00000000"/>
  </w:font>
  <w:font w:name="Arabic Typesetting">
    <w:panose1 w:val="03020402040406030203"/>
    <w:charset w:val="00"/>
    <w:family w:val="auto"/>
    <w:pitch w:val="default"/>
    <w:sig w:usb0="80002007" w:usb1="80000000" w:usb2="00000008" w:usb3="00000000" w:csb0="000000D3" w:csb1="20080000"/>
  </w:font>
  <w:font w:name="Cambria">
    <w:panose1 w:val="02040503050406030204"/>
    <w:charset w:val="00"/>
    <w:family w:val="roman"/>
    <w:pitch w:val="default"/>
    <w:sig w:usb0="E00006FF" w:usb1="420024FF" w:usb2="02000000" w:usb3="00000000" w:csb0="2000019F" w:csb1="00000000"/>
  </w:font>
  <w:font w:name="Sakkal Majalla">
    <w:panose1 w:val="02000000000000000000"/>
    <w:charset w:val="B2"/>
    <w:family w:val="auto"/>
    <w:pitch w:val="default"/>
    <w:sig w:usb0="A0002027" w:usb1="80000000" w:usb2="00000108" w:usb3="00000000" w:csb0="200000D3" w:csb1="2008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auto"/>
    <w:pitch w:val="default"/>
    <w:sig w:usb0="E1002EFF" w:usb1="C000605B" w:usb2="00000029" w:usb3="00000000" w:csb0="200101FF" w:csb1="20280000"/>
  </w:font>
  <w:font w:name="Microsoft YaHei">
    <w:panose1 w:val="020B0503020204020204"/>
    <w:charset w:val="86"/>
    <w:family w:val="auto"/>
    <w:pitch w:val="default"/>
    <w:sig w:usb0="80000287" w:usb1="2ACF3C50" w:usb2="00000016" w:usb3="00000000" w:csb0="0004001F" w:csb1="00000000"/>
  </w:font>
  <w:font w:name="等线">
    <w:altName w:val="Microsoft YaHei"/>
    <w:panose1 w:val="00000000000000000000"/>
    <w:charset w:val="00"/>
    <w:family w:val="auto"/>
    <w:pitch w:val="default"/>
    <w:sig w:usb0="00000000" w:usb1="00000000" w:usb2="00000000" w:usb3="00000000" w:csb0="00000000" w:csb1="00000000"/>
  </w:font>
  <w:font w:name="Aldhabi">
    <w:panose1 w:val="01000000000000000000"/>
    <w:charset w:val="00"/>
    <w:family w:val="auto"/>
    <w:pitch w:val="default"/>
    <w:sig w:usb0="80002007" w:usb1="80000000" w:usb2="00000008" w:usb3="00000000" w:csb0="00000041" w:csb1="20080000"/>
  </w:font>
  <w:font w:name="Arial Black">
    <w:panose1 w:val="020B0A04020102020204"/>
    <w:charset w:val="00"/>
    <w:family w:val="auto"/>
    <w:pitch w:val="default"/>
    <w:sig w:usb0="A00002AF" w:usb1="400078FB" w:usb2="00000000" w:usb3="00000000" w:csb0="6000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before="0" w:after="0" w:line="259" w:lineRule="auto"/>
      </w:pPr>
      <w:r>
        <w:separator/>
      </w:r>
    </w:p>
  </w:footnote>
  <w:footnote w:type="continuationSeparator" w:id="3">
    <w:p>
      <w:pPr>
        <w:spacing w:before="0" w:after="0" w:line="259" w:lineRule="auto"/>
      </w:pPr>
      <w:r>
        <w:continuationSeparator/>
      </w:r>
    </w:p>
  </w:footnote>
  <w:footnote w:id="0">
    <w:p w14:paraId="269695DD">
      <w:pPr>
        <w:pStyle w:val="5"/>
        <w:rPr>
          <w:rtl/>
          <w:lang w:bidi="fa-IR"/>
        </w:rPr>
      </w:pPr>
      <w:r>
        <w:rPr>
          <w:rStyle w:val="4"/>
        </w:rPr>
        <w:footnoteRef/>
      </w:r>
      <w:r>
        <w:t xml:space="preserve"> sensorineural hearing loss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hideSpellingErrors/>
  <w:hideGrammaticalErrors/>
  <w:documentProtection w:enforcement="0"/>
  <w:defaultTabStop w:val="720"/>
  <w:displayHorizontalDrawingGridEvery w:val="1"/>
  <w:displayVerticalDrawingGridEvery w:val="1"/>
  <w:noPunctuationKerning w:val="1"/>
  <w:characterSpacingControl w:val="doNotCompress"/>
  <w:footnotePr>
    <w:footnote w:id="2"/>
    <w:footnote w:id="3"/>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f2ws2vx0s2xrlew22qvtpt15pwrpzv9fexa&quot;&gt;My EndNote Library&lt;record-ids&gt;&lt;item&gt;3362&lt;/item&gt;&lt;item&gt;3363&lt;/item&gt;&lt;item&gt;3364&lt;/item&gt;&lt;item&gt;3365&lt;/item&gt;&lt;item&gt;3366&lt;/item&gt;&lt;item&gt;3367&lt;/item&gt;&lt;item&gt;3368&lt;/item&gt;&lt;item&gt;3379&lt;/item&gt;&lt;item&gt;3380&lt;/item&gt;&lt;item&gt;3381&lt;/item&gt;&lt;item&gt;3382&lt;/item&gt;&lt;item&gt;3383&lt;/item&gt;&lt;item&gt;3385&lt;/item&gt;&lt;item&gt;3386&lt;/item&gt;&lt;item&gt;3387&lt;/item&gt;&lt;item&gt;3388&lt;/item&gt;&lt;item&gt;3389&lt;/item&gt;&lt;item&gt;3390&lt;/item&gt;&lt;item&gt;3391&lt;/item&gt;&lt;/record-ids&gt;&lt;/item&gt;&lt;/Libraries&gt;"/>
  </w:docVars>
  <w:rsids>
    <w:rsidRoot w:val="001A5116"/>
    <w:rsid w:val="00080061"/>
    <w:rsid w:val="000B5C0D"/>
    <w:rsid w:val="00166CD7"/>
    <w:rsid w:val="001A5116"/>
    <w:rsid w:val="001B7470"/>
    <w:rsid w:val="00207FD7"/>
    <w:rsid w:val="00275B38"/>
    <w:rsid w:val="002C01EE"/>
    <w:rsid w:val="00363DB8"/>
    <w:rsid w:val="003B75B5"/>
    <w:rsid w:val="003D1C7F"/>
    <w:rsid w:val="004C6351"/>
    <w:rsid w:val="004E4FC9"/>
    <w:rsid w:val="00504A6D"/>
    <w:rsid w:val="00554058"/>
    <w:rsid w:val="005952FF"/>
    <w:rsid w:val="00644D53"/>
    <w:rsid w:val="006530E1"/>
    <w:rsid w:val="00695631"/>
    <w:rsid w:val="006B76BD"/>
    <w:rsid w:val="007847DC"/>
    <w:rsid w:val="008237B4"/>
    <w:rsid w:val="00844CB1"/>
    <w:rsid w:val="00896E18"/>
    <w:rsid w:val="008D6BEF"/>
    <w:rsid w:val="008F2497"/>
    <w:rsid w:val="00903FE2"/>
    <w:rsid w:val="00922AB0"/>
    <w:rsid w:val="009A11EF"/>
    <w:rsid w:val="009B6179"/>
    <w:rsid w:val="009D0732"/>
    <w:rsid w:val="00A34D57"/>
    <w:rsid w:val="00A4155A"/>
    <w:rsid w:val="00A93A16"/>
    <w:rsid w:val="00AC2EBE"/>
    <w:rsid w:val="00B53AFF"/>
    <w:rsid w:val="00B53F83"/>
    <w:rsid w:val="00B754C9"/>
    <w:rsid w:val="00BB6E61"/>
    <w:rsid w:val="00BC030A"/>
    <w:rsid w:val="00BC1633"/>
    <w:rsid w:val="00C602CF"/>
    <w:rsid w:val="00D70192"/>
    <w:rsid w:val="00DF41DB"/>
    <w:rsid w:val="00E44443"/>
    <w:rsid w:val="00E4527A"/>
    <w:rsid w:val="00ED0F38"/>
    <w:rsid w:val="00EE3622"/>
    <w:rsid w:val="00F70F5D"/>
    <w:rsid w:val="00F81F19"/>
    <w:rsid w:val="00FF1D1E"/>
    <w:rsid w:val="04700BD6"/>
    <w:rsid w:val="0C43782D"/>
    <w:rsid w:val="1A8A4F56"/>
    <w:rsid w:val="1E1E3842"/>
    <w:rsid w:val="3AD72288"/>
    <w:rsid w:val="3F6E003E"/>
    <w:rsid w:val="5DBE70C1"/>
    <w:rsid w:val="6AA64288"/>
    <w:rsid w:val="6BC4121E"/>
    <w:rsid w:val="7865284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character" w:default="1" w:styleId="2">
    <w:name w:val="Default Paragraph Font"/>
    <w:unhideWhenUsed/>
    <w:qFormat/>
    <w:uiPriority w:val="1"/>
  </w:style>
  <w:style w:type="table" w:default="1" w:styleId="3">
    <w:name w:val="Normal Table"/>
    <w:semiHidden/>
    <w:unhideWhenUsed/>
    <w:qFormat/>
    <w:uiPriority w:val="99"/>
    <w:pPr>
      <w:keepNext w:val="0"/>
      <w:keepLines w:val="0"/>
      <w:widowControl/>
      <w:suppressLineNumbers w:val="0"/>
      <w:spacing w:before="0" w:beforeAutospacing="0" w:after="160" w:afterAutospacing="0" w:line="256" w:lineRule="auto"/>
      <w:ind w:left="0" w:right="0"/>
    </w:pPr>
    <w:rPr>
      <w:rFonts w:hint="eastAsia" w:ascii="Calibri" w:hAnsi="Calibri" w:cs="Arial"/>
      <w:sz w:val="22"/>
      <w:szCs w:val="22"/>
    </w:rPr>
    <w:tblPr>
      <w:tblCellMar>
        <w:top w:w="0" w:type="dxa"/>
        <w:left w:w="108" w:type="dxa"/>
        <w:bottom w:w="0" w:type="dxa"/>
        <w:right w:w="108" w:type="dxa"/>
      </w:tblCellMar>
    </w:tblPr>
  </w:style>
  <w:style w:type="character" w:styleId="4">
    <w:name w:val="footnote reference"/>
    <w:basedOn w:val="2"/>
    <w:semiHidden/>
    <w:unhideWhenUsed/>
    <w:qFormat/>
    <w:uiPriority w:val="99"/>
    <w:rPr>
      <w:vertAlign w:val="superscript"/>
    </w:rPr>
  </w:style>
  <w:style w:type="paragraph" w:styleId="5">
    <w:name w:val="footnote text"/>
    <w:basedOn w:val="1"/>
    <w:link w:val="12"/>
    <w:semiHidden/>
    <w:unhideWhenUsed/>
    <w:qFormat/>
    <w:uiPriority w:val="99"/>
    <w:pPr>
      <w:spacing w:after="0" w:line="240" w:lineRule="auto"/>
    </w:pPr>
    <w:rPr>
      <w:sz w:val="20"/>
      <w:szCs w:val="20"/>
    </w:rPr>
  </w:style>
  <w:style w:type="paragraph" w:styleId="6">
    <w:name w:val="HTML Preformatted"/>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SimSun" w:hAnsi="SimSun" w:eastAsia="SimSun" w:cs="SimSun"/>
      <w:kern w:val="0"/>
      <w:sz w:val="24"/>
      <w:szCs w:val="24"/>
      <w:lang w:val="en-US" w:eastAsia="zh-CN" w:bidi="ar"/>
    </w:rPr>
  </w:style>
  <w:style w:type="character" w:styleId="7">
    <w:name w:val="Hyperlink"/>
    <w:basedOn w:val="2"/>
    <w:unhideWhenUsed/>
    <w:qFormat/>
    <w:uiPriority w:val="99"/>
    <w:rPr>
      <w:color w:val="0563C1" w:themeColor="hyperlink"/>
      <w:u w:val="single"/>
      <w14:textFill>
        <w14:solidFill>
          <w14:schemeClr w14:val="hlink"/>
        </w14:solidFill>
      </w14:textFill>
    </w:rPr>
  </w:style>
  <w:style w:type="paragraph" w:customStyle="1" w:styleId="8">
    <w:name w:val="EndNote Bibliography Title"/>
    <w:basedOn w:val="1"/>
    <w:link w:val="9"/>
    <w:qFormat/>
    <w:uiPriority w:val="0"/>
    <w:pPr>
      <w:spacing w:after="0"/>
      <w:jc w:val="center"/>
    </w:pPr>
    <w:rPr>
      <w:rFonts w:ascii="Calibri" w:hAnsi="Calibri" w:cs="Calibri"/>
    </w:rPr>
  </w:style>
  <w:style w:type="character" w:customStyle="1" w:styleId="9">
    <w:name w:val="EndNote Bibliography Title Char"/>
    <w:basedOn w:val="2"/>
    <w:link w:val="8"/>
    <w:qFormat/>
    <w:uiPriority w:val="0"/>
    <w:rPr>
      <w:rFonts w:ascii="Calibri" w:hAnsi="Calibri" w:cs="Calibri"/>
    </w:rPr>
  </w:style>
  <w:style w:type="paragraph" w:customStyle="1" w:styleId="10">
    <w:name w:val="EndNote Bibliography"/>
    <w:basedOn w:val="1"/>
    <w:link w:val="11"/>
    <w:qFormat/>
    <w:uiPriority w:val="0"/>
    <w:pPr>
      <w:spacing w:line="240" w:lineRule="auto"/>
      <w:jc w:val="both"/>
    </w:pPr>
    <w:rPr>
      <w:rFonts w:ascii="Calibri" w:hAnsi="Calibri" w:cs="Calibri"/>
    </w:rPr>
  </w:style>
  <w:style w:type="character" w:customStyle="1" w:styleId="11">
    <w:name w:val="EndNote Bibliography Char"/>
    <w:basedOn w:val="2"/>
    <w:link w:val="10"/>
    <w:qFormat/>
    <w:uiPriority w:val="0"/>
    <w:rPr>
      <w:rFonts w:ascii="Calibri" w:hAnsi="Calibri" w:cs="Calibri"/>
    </w:rPr>
  </w:style>
  <w:style w:type="character" w:customStyle="1" w:styleId="12">
    <w:name w:val="Footnote Text Char"/>
    <w:basedOn w:val="2"/>
    <w:link w:val="5"/>
    <w:semiHidden/>
    <w:qFormat/>
    <w:uiPriority w:val="99"/>
    <w:rPr>
      <w:sz w:val="20"/>
      <w:szCs w:val="20"/>
    </w:rPr>
  </w:style>
  <w:style w:type="table" w:customStyle="1" w:styleId="13">
    <w:name w:val="List Table 6 Colorful"/>
    <w:basedOn w:val="3"/>
    <w:qFormat/>
    <w:uiPriority w:val="51"/>
    <w:pPr>
      <w:spacing w:after="0" w:line="240" w:lineRule="auto"/>
    </w:pPr>
    <w:rPr>
      <w:color w:val="000000" w:themeColor="text1"/>
      <w:lang w:bidi="fa-IR"/>
      <w14:textFill>
        <w14:solidFill>
          <w14:schemeClr w14:val="tx1"/>
        </w14:solidFill>
      </w14:textFill>
    </w:rPr>
    <w:tblPr>
      <w:tblBorders>
        <w:top w:val="single" w:color="000000" w:themeColor="text1" w:sz="4" w:space="0"/>
        <w:bottom w:val="single" w:color="000000" w:themeColor="text1" w:sz="4" w:space="0"/>
      </w:tblBorders>
    </w:tblPr>
    <w:tblStylePr w:type="firstRow">
      <w:rPr>
        <w:b/>
        <w:bCs/>
      </w:rPr>
      <w:tcPr>
        <w:tcBorders>
          <w:bottom w:val="single" w:color="000000" w:themeColor="text1" w:sz="4" w:space="0"/>
        </w:tcBorders>
      </w:tcPr>
    </w:tblStylePr>
    <w:tblStylePr w:type="lastRow">
      <w:rPr>
        <w:b/>
        <w:bCs/>
      </w:rPr>
      <w:tcPr>
        <w:tcBorders>
          <w:top w:val="double" w:color="000000" w:themeColor="text1" w:sz="4" w:space="0"/>
        </w:tcBorders>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14">
    <w:name w:val="List Table 6 Colorful1"/>
    <w:basedOn w:val="3"/>
    <w:qFormat/>
    <w:uiPriority w:val="51"/>
    <w:pPr>
      <w:spacing w:after="0" w:line="240" w:lineRule="auto"/>
    </w:pPr>
    <w:rPr>
      <w:color w:val="000000" w:themeColor="text1"/>
      <w:lang w:bidi="fa-IR"/>
      <w14:textFill>
        <w14:solidFill>
          <w14:schemeClr w14:val="tx1"/>
        </w14:solidFill>
      </w14:textFill>
    </w:rPr>
    <w:tblPr>
      <w:tblBorders>
        <w:top w:val="single" w:color="000000" w:themeColor="text1" w:sz="4" w:space="0"/>
        <w:bottom w:val="single" w:color="000000" w:themeColor="text1" w:sz="4" w:space="0"/>
      </w:tblBorders>
    </w:tblPr>
    <w:tblStylePr w:type="firstRow">
      <w:rPr>
        <w:b/>
        <w:bCs/>
      </w:rPr>
      <w:tcPr>
        <w:tcBorders>
          <w:bottom w:val="single" w:color="000000" w:themeColor="text1" w:sz="4" w:space="0"/>
        </w:tcBorders>
      </w:tcPr>
    </w:tblStylePr>
    <w:tblStylePr w:type="lastRow">
      <w:rPr>
        <w:b/>
        <w:bCs/>
      </w:rPr>
      <w:tcPr>
        <w:tcBorders>
          <w:top w:val="double" w:color="000000" w:themeColor="text1" w:sz="4" w:space="0"/>
        </w:tcBorders>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15">
    <w:name w:val="List Table 6 Colorful2"/>
    <w:basedOn w:val="3"/>
    <w:qFormat/>
    <w:uiPriority w:val="51"/>
    <w:pPr>
      <w:spacing w:after="0" w:line="240" w:lineRule="auto"/>
    </w:pPr>
    <w:rPr>
      <w:color w:val="000000" w:themeColor="text1"/>
      <w:lang w:bidi="fa-IR"/>
      <w14:textFill>
        <w14:solidFill>
          <w14:schemeClr w14:val="tx1"/>
        </w14:solidFill>
      </w14:textFill>
    </w:rPr>
    <w:tblPr>
      <w:tblBorders>
        <w:top w:val="single" w:color="000000" w:themeColor="text1" w:sz="4" w:space="0"/>
        <w:bottom w:val="single" w:color="000000" w:themeColor="text1" w:sz="4" w:space="0"/>
      </w:tblBorders>
    </w:tblPr>
    <w:tblStylePr w:type="firstRow">
      <w:rPr>
        <w:b/>
        <w:bCs/>
      </w:rPr>
      <w:tcPr>
        <w:tcBorders>
          <w:bottom w:val="single" w:color="000000" w:themeColor="text1" w:sz="4" w:space="0"/>
        </w:tcBorders>
      </w:tcPr>
    </w:tblStylePr>
    <w:tblStylePr w:type="lastRow">
      <w:rPr>
        <w:b/>
        <w:bCs/>
      </w:rPr>
      <w:tcPr>
        <w:tcBorders>
          <w:top w:val="double" w:color="000000" w:themeColor="text1" w:sz="4" w:space="0"/>
        </w:tcBorders>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7154E0-4C08-43BE-99E9-08D307D8F46B}">
  <ds:schemaRefs/>
</ds:datastoreItem>
</file>

<file path=docProps/app.xml><?xml version="1.0" encoding="utf-8"?>
<Properties xmlns="http://schemas.openxmlformats.org/officeDocument/2006/extended-properties" xmlns:vt="http://schemas.openxmlformats.org/officeDocument/2006/docPropsVTypes">
  <Template>Normal</Template>
  <Company>diakov.net</Company>
  <Pages>14</Pages>
  <Words>4329</Words>
  <Characters>24680</Characters>
  <Lines>205</Lines>
  <Paragraphs>57</Paragraphs>
  <TotalTime>32</TotalTime>
  <ScaleCrop>false</ScaleCrop>
  <LinksUpToDate>false</LinksUpToDate>
  <CharactersWithSpaces>28952</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2025-09-16T11:55:00Z</dcterms:created>
  <dc:creator>RePack by Diakov</dc:creator>
  <cp:lastModifiedBy>Administrator</cp:lastModifiedBy>
  <dcterms:modified xsi:type="dcterms:W3CDTF">2025-09-24T09:29:58Z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1D8A1E416A204F489C6914B3F292B227_13</vt:lpwstr>
  </property>
</Properties>
</file>