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3DE43" w14:textId="77777777" w:rsidR="00FB2023" w:rsidRPr="007D458C" w:rsidRDefault="00FB2023" w:rsidP="00FB2023">
      <w:pPr>
        <w:bidi/>
        <w:spacing w:after="200" w:line="276" w:lineRule="auto"/>
        <w:ind w:left="720"/>
        <w:contextualSpacing/>
        <w:rPr>
          <w:rFonts w:ascii="Calibri" w:eastAsia="Calibri" w:hAnsi="Calibri" w:cs="B Nazanin"/>
          <w:sz w:val="24"/>
          <w:szCs w:val="24"/>
          <w:lang w:bidi="fa-IR"/>
        </w:rPr>
      </w:pPr>
      <w:bookmarkStart w:id="0" w:name="_GoBack"/>
      <w:bookmarkEnd w:id="0"/>
    </w:p>
    <w:p w14:paraId="09BAE86F" w14:textId="6C770051" w:rsidR="00457535" w:rsidRPr="007D458C" w:rsidRDefault="00457535" w:rsidP="006A41E0">
      <w:pPr>
        <w:bidi/>
        <w:spacing w:after="200" w:line="276" w:lineRule="auto"/>
        <w:ind w:left="720"/>
        <w:contextualSpacing/>
        <w:rPr>
          <w:rFonts w:ascii="Calibri" w:eastAsia="Calibri" w:hAnsi="Calibri" w:cs="B Nazanin"/>
          <w:sz w:val="24"/>
          <w:szCs w:val="24"/>
          <w:lang w:bidi="fa-IR"/>
        </w:rPr>
      </w:pPr>
    </w:p>
    <w:p w14:paraId="53564F4D" w14:textId="77777777" w:rsidR="00CF69B3" w:rsidRPr="008057F6" w:rsidRDefault="00CF69B3" w:rsidP="00CF69B3">
      <w:pPr>
        <w:bidi/>
        <w:spacing w:after="0"/>
        <w:jc w:val="center"/>
        <w:rPr>
          <w:rFonts w:ascii="Arial" w:eastAsia="Times New Roman" w:hAnsi="Arial" w:cs="B Nazanin"/>
          <w:b/>
          <w:bCs/>
          <w:color w:val="000000" w:themeColor="text1"/>
          <w:sz w:val="26"/>
          <w:rtl/>
          <w:lang w:val="x-none" w:eastAsia="x-none" w:bidi="fa-IR"/>
        </w:rPr>
      </w:pPr>
      <w:r w:rsidRPr="008057F6">
        <w:rPr>
          <w:rFonts w:ascii="Arial" w:eastAsia="Times New Roman" w:hAnsi="Arial" w:cs="B Nazanin" w:hint="cs"/>
          <w:b/>
          <w:bCs/>
          <w:color w:val="000000" w:themeColor="text1"/>
          <w:sz w:val="26"/>
          <w:rtl/>
          <w:lang w:val="x-none" w:eastAsia="x-none" w:bidi="fa-IR"/>
        </w:rPr>
        <w:t xml:space="preserve">بررسی تاثیر </w:t>
      </w:r>
      <w:r w:rsidRPr="008057F6">
        <w:rPr>
          <w:rFonts w:ascii="Times New Roman" w:eastAsia="Times New Roman" w:hAnsi="Times New Roman" w:cs="B Nazanin"/>
          <w:b/>
          <w:bCs/>
          <w:color w:val="000000" w:themeColor="text1"/>
          <w:sz w:val="26"/>
          <w:lang w:eastAsia="x-none" w:bidi="fa-IR"/>
        </w:rPr>
        <w:t>EGCG</w:t>
      </w:r>
      <w:r w:rsidRPr="008057F6">
        <w:rPr>
          <w:rFonts w:ascii="Arial" w:eastAsia="Times New Roman" w:hAnsi="Arial" w:cs="B Nazanin" w:hint="cs"/>
          <w:b/>
          <w:bCs/>
          <w:color w:val="000000" w:themeColor="text1"/>
          <w:sz w:val="26"/>
          <w:rtl/>
          <w:lang w:eastAsia="x-none" w:bidi="fa-IR"/>
        </w:rPr>
        <w:t xml:space="preserve"> بر بیان فاکتور ایمنی </w:t>
      </w:r>
      <w:r w:rsidRPr="008057F6">
        <w:rPr>
          <w:rFonts w:ascii="Times New Roman" w:eastAsia="Times New Roman" w:hAnsi="Times New Roman" w:cs="B Nazanin"/>
          <w:b/>
          <w:bCs/>
          <w:color w:val="000000" w:themeColor="text1"/>
          <w:sz w:val="26"/>
          <w:lang w:eastAsia="x-none" w:bidi="fa-IR"/>
        </w:rPr>
        <w:t>CXCL1</w:t>
      </w:r>
      <w:r w:rsidRPr="008057F6">
        <w:rPr>
          <w:rFonts w:ascii="Arial" w:eastAsia="Times New Roman" w:hAnsi="Arial" w:cs="B Nazanin" w:hint="cs"/>
          <w:b/>
          <w:bCs/>
          <w:color w:val="000000" w:themeColor="text1"/>
          <w:sz w:val="26"/>
          <w:rtl/>
          <w:lang w:eastAsia="x-none" w:bidi="fa-IR"/>
        </w:rPr>
        <w:t xml:space="preserve"> در بافت کبد</w:t>
      </w:r>
      <w:r w:rsidRPr="008057F6">
        <w:rPr>
          <w:rFonts w:ascii="Arial" w:eastAsia="Times New Roman" w:hAnsi="Arial" w:cs="B Nazanin" w:hint="cs"/>
          <w:b/>
          <w:bCs/>
          <w:color w:val="000000" w:themeColor="text1"/>
          <w:sz w:val="26"/>
          <w:rtl/>
          <w:lang w:val="x-none" w:eastAsia="x-none" w:bidi="fa-IR"/>
        </w:rPr>
        <w:t xml:space="preserve"> </w:t>
      </w:r>
      <w:r>
        <w:rPr>
          <w:rFonts w:ascii="Arial" w:eastAsia="Times New Roman" w:hAnsi="Arial" w:cs="B Nazanin" w:hint="cs"/>
          <w:b/>
          <w:bCs/>
          <w:color w:val="000000" w:themeColor="text1"/>
          <w:sz w:val="26"/>
          <w:rtl/>
          <w:lang w:val="x-none" w:eastAsia="x-none" w:bidi="fa-IR"/>
        </w:rPr>
        <w:t>رت‏</w:t>
      </w:r>
      <w:r w:rsidRPr="008057F6">
        <w:rPr>
          <w:rFonts w:ascii="Arial" w:eastAsia="Times New Roman" w:hAnsi="Arial" w:cs="B Nazanin" w:hint="cs"/>
          <w:b/>
          <w:bCs/>
          <w:color w:val="000000" w:themeColor="text1"/>
          <w:sz w:val="26"/>
          <w:rtl/>
          <w:lang w:val="x-none" w:eastAsia="x-none" w:bidi="fa-IR"/>
        </w:rPr>
        <w:t>های آزمایشگاهی سالمند</w:t>
      </w:r>
    </w:p>
    <w:p w14:paraId="20F1F3A5" w14:textId="77777777" w:rsidR="00CF69B3" w:rsidRPr="00075529" w:rsidRDefault="00CF69B3" w:rsidP="00CF69B3">
      <w:pPr>
        <w:bidi/>
        <w:spacing w:after="0" w:line="360" w:lineRule="auto"/>
        <w:jc w:val="center"/>
        <w:rPr>
          <w:rFonts w:ascii="Times New Roman" w:eastAsia="Calibri" w:hAnsi="Times New Roman" w:cs="B Lotus"/>
          <w:b/>
          <w:bCs/>
          <w:color w:val="0D0D0D"/>
          <w:sz w:val="20"/>
          <w:szCs w:val="20"/>
          <w:vertAlign w:val="superscript"/>
          <w:rtl/>
          <w:lang w:bidi="fa-IR"/>
        </w:rPr>
      </w:pPr>
      <w:r w:rsidRPr="00F17B14">
        <w:rPr>
          <w:rFonts w:ascii="Times New Roman" w:eastAsia="Calibri" w:hAnsi="Times New Roman" w:cs="B Nazanin" w:hint="cs"/>
          <w:color w:val="0D0D0D"/>
          <w:sz w:val="24"/>
          <w:szCs w:val="24"/>
          <w:rtl/>
          <w:lang w:bidi="fa-IR"/>
        </w:rPr>
        <w:t xml:space="preserve">لیلا درخشان </w:t>
      </w:r>
      <w:r w:rsidRPr="00F17B14">
        <w:rPr>
          <w:rFonts w:ascii="Times New Roman" w:eastAsia="Calibri" w:hAnsi="Times New Roman" w:cs="B Nazanin" w:hint="cs"/>
          <w:color w:val="0D0D0D"/>
          <w:sz w:val="24"/>
          <w:szCs w:val="24"/>
          <w:vertAlign w:val="superscript"/>
          <w:rtl/>
          <w:lang w:bidi="fa-IR"/>
        </w:rPr>
        <w:t xml:space="preserve">1 </w:t>
      </w:r>
      <w:r w:rsidRPr="00075529">
        <w:rPr>
          <w:rFonts w:eastAsia="MS Mincho" w:cs="B Lotus" w:hint="cs"/>
          <w:b/>
          <w:bCs/>
          <w:caps/>
          <w:color w:val="000000"/>
          <w:sz w:val="20"/>
          <w:szCs w:val="20"/>
          <w:rtl/>
        </w:rPr>
        <w:t xml:space="preserve">سید مرتضی رزاقی منش </w:t>
      </w:r>
      <w:r>
        <w:rPr>
          <w:rFonts w:eastAsia="MS Mincho" w:cs="B Lotus" w:hint="cs"/>
          <w:b/>
          <w:bCs/>
          <w:caps/>
          <w:color w:val="000000"/>
          <w:sz w:val="20"/>
          <w:szCs w:val="20"/>
          <w:vertAlign w:val="superscript"/>
          <w:rtl/>
        </w:rPr>
        <w:t>1</w:t>
      </w:r>
      <w:r w:rsidRPr="00075529">
        <w:rPr>
          <w:rFonts w:eastAsia="MS Mincho" w:cs="B Lotus" w:hint="cs"/>
          <w:b/>
          <w:bCs/>
          <w:caps/>
          <w:color w:val="000000"/>
          <w:sz w:val="20"/>
          <w:szCs w:val="20"/>
          <w:rtl/>
        </w:rPr>
        <w:t xml:space="preserve"> </w:t>
      </w:r>
      <w:r>
        <w:rPr>
          <w:rFonts w:eastAsia="MS Mincho" w:cs="B Lotus" w:hint="cs"/>
          <w:b/>
          <w:bCs/>
          <w:caps/>
          <w:color w:val="000000"/>
          <w:sz w:val="20"/>
          <w:szCs w:val="20"/>
          <w:rtl/>
        </w:rPr>
        <w:t>نازنین حقیقی</w:t>
      </w:r>
      <w:r w:rsidRPr="00075529">
        <w:rPr>
          <w:rFonts w:eastAsia="MS Mincho" w:cs="B Lotus" w:hint="cs"/>
          <w:b/>
          <w:bCs/>
          <w:caps/>
          <w:color w:val="000000"/>
          <w:sz w:val="20"/>
          <w:szCs w:val="20"/>
          <w:rtl/>
        </w:rPr>
        <w:t xml:space="preserve"> </w:t>
      </w:r>
      <w:r>
        <w:rPr>
          <w:rFonts w:eastAsia="MS Mincho" w:cs="B Lotus" w:hint="cs"/>
          <w:b/>
          <w:bCs/>
          <w:caps/>
          <w:color w:val="000000"/>
          <w:sz w:val="20"/>
          <w:szCs w:val="20"/>
          <w:vertAlign w:val="superscript"/>
          <w:rtl/>
        </w:rPr>
        <w:t>1</w:t>
      </w:r>
      <w:r w:rsidRPr="00886E07">
        <w:rPr>
          <w:rFonts w:ascii="Times New Roman" w:eastAsia="Calibri" w:hAnsi="Times New Roman" w:cs="B Lotus" w:hint="cs"/>
          <w:b/>
          <w:bCs/>
          <w:color w:val="0D0D0D"/>
          <w:sz w:val="20"/>
          <w:szCs w:val="20"/>
          <w:rtl/>
          <w:lang w:bidi="fa-IR"/>
        </w:rPr>
        <w:t xml:space="preserve"> </w:t>
      </w:r>
      <w:r w:rsidRPr="00075529">
        <w:rPr>
          <w:rFonts w:ascii="Times New Roman" w:eastAsia="Calibri" w:hAnsi="Times New Roman" w:cs="B Lotus" w:hint="cs"/>
          <w:b/>
          <w:bCs/>
          <w:color w:val="0D0D0D"/>
          <w:sz w:val="20"/>
          <w:szCs w:val="20"/>
          <w:rtl/>
          <w:lang w:bidi="fa-IR"/>
        </w:rPr>
        <w:t xml:space="preserve">سیده ام البنین قاسمیان </w:t>
      </w:r>
      <w:r>
        <w:rPr>
          <w:rFonts w:ascii="Times New Roman" w:eastAsia="Calibri" w:hAnsi="Times New Roman" w:cs="B Lotus" w:hint="cs"/>
          <w:b/>
          <w:bCs/>
          <w:color w:val="0D0D0D"/>
          <w:sz w:val="20"/>
          <w:szCs w:val="20"/>
          <w:vertAlign w:val="superscript"/>
          <w:rtl/>
          <w:lang w:bidi="fa-IR"/>
        </w:rPr>
        <w:t>2</w:t>
      </w:r>
      <w:r w:rsidRPr="00075529">
        <w:rPr>
          <w:rFonts w:ascii="Times New Roman" w:eastAsia="Calibri" w:hAnsi="Times New Roman" w:cs="B Lotus" w:hint="cs"/>
          <w:b/>
          <w:bCs/>
          <w:color w:val="0D0D0D"/>
          <w:sz w:val="20"/>
          <w:szCs w:val="20"/>
          <w:vertAlign w:val="superscript"/>
          <w:rtl/>
          <w:lang w:bidi="fa-IR"/>
        </w:rPr>
        <w:t>*</w:t>
      </w:r>
    </w:p>
    <w:p w14:paraId="7D1CD130" w14:textId="77777777" w:rsidR="00CF69B3" w:rsidRDefault="00CF69B3" w:rsidP="00CF69B3">
      <w:pPr>
        <w:numPr>
          <w:ilvl w:val="0"/>
          <w:numId w:val="6"/>
        </w:numPr>
        <w:bidi/>
        <w:spacing w:after="200" w:line="276" w:lineRule="auto"/>
        <w:contextualSpacing/>
        <w:rPr>
          <w:rFonts w:ascii="Calibri" w:eastAsia="Calibri" w:hAnsi="Calibri" w:cs="B Nazanin"/>
          <w:sz w:val="24"/>
          <w:szCs w:val="24"/>
          <w:lang w:bidi="fa-IR"/>
        </w:rPr>
      </w:pPr>
      <w:r w:rsidRPr="007D458C">
        <w:rPr>
          <w:rFonts w:ascii="Calibri" w:eastAsia="Calibri" w:hAnsi="Calibri" w:cs="B Nazanin"/>
          <w:sz w:val="24"/>
          <w:szCs w:val="24"/>
          <w:rtl/>
          <w:lang w:bidi="fa-IR"/>
        </w:rPr>
        <w:t>گروه دامپزشک</w:t>
      </w:r>
      <w:r w:rsidRPr="007D458C">
        <w:rPr>
          <w:rFonts w:ascii="Calibri" w:eastAsia="Calibri" w:hAnsi="Calibri" w:cs="B Nazanin" w:hint="cs"/>
          <w:sz w:val="24"/>
          <w:szCs w:val="24"/>
          <w:rtl/>
          <w:lang w:bidi="fa-IR"/>
        </w:rPr>
        <w:t>ی</w:t>
      </w:r>
      <w:r w:rsidRPr="007D458C">
        <w:rPr>
          <w:rFonts w:ascii="Calibri" w:eastAsia="Calibri" w:hAnsi="Calibri" w:cs="B Nazanin" w:hint="eastAsia"/>
          <w:sz w:val="24"/>
          <w:szCs w:val="24"/>
          <w:rtl/>
          <w:lang w:bidi="fa-IR"/>
        </w:rPr>
        <w:t>،</w:t>
      </w:r>
      <w:r w:rsidRPr="007D458C">
        <w:rPr>
          <w:rFonts w:ascii="Calibri" w:eastAsia="Calibri" w:hAnsi="Calibri" w:cs="B Nazanin"/>
          <w:sz w:val="24"/>
          <w:szCs w:val="24"/>
          <w:rtl/>
          <w:lang w:bidi="fa-IR"/>
        </w:rPr>
        <w:t xml:space="preserve"> واحد شوشتر، دانشگاه آزاد اسلام</w:t>
      </w:r>
      <w:r w:rsidRPr="007D458C">
        <w:rPr>
          <w:rFonts w:ascii="Calibri" w:eastAsia="Calibri" w:hAnsi="Calibri" w:cs="B Nazanin" w:hint="cs"/>
          <w:sz w:val="24"/>
          <w:szCs w:val="24"/>
          <w:rtl/>
          <w:lang w:bidi="fa-IR"/>
        </w:rPr>
        <w:t>ی</w:t>
      </w:r>
      <w:r w:rsidRPr="007D458C">
        <w:rPr>
          <w:rFonts w:ascii="Calibri" w:eastAsia="Calibri" w:hAnsi="Calibri" w:cs="B Nazanin" w:hint="eastAsia"/>
          <w:sz w:val="24"/>
          <w:szCs w:val="24"/>
          <w:rtl/>
          <w:lang w:bidi="fa-IR"/>
        </w:rPr>
        <w:t>،</w:t>
      </w:r>
      <w:r w:rsidRPr="007D458C">
        <w:rPr>
          <w:rFonts w:ascii="Calibri" w:eastAsia="Calibri" w:hAnsi="Calibri" w:cs="B Nazanin"/>
          <w:sz w:val="24"/>
          <w:szCs w:val="24"/>
          <w:rtl/>
          <w:lang w:bidi="fa-IR"/>
        </w:rPr>
        <w:t xml:space="preserve"> شوشتر، ا</w:t>
      </w:r>
      <w:r w:rsidRPr="007D458C">
        <w:rPr>
          <w:rFonts w:ascii="Calibri" w:eastAsia="Calibri" w:hAnsi="Calibri" w:cs="B Nazanin" w:hint="cs"/>
          <w:sz w:val="24"/>
          <w:szCs w:val="24"/>
          <w:rtl/>
          <w:lang w:bidi="fa-IR"/>
        </w:rPr>
        <w:t>ی</w:t>
      </w:r>
      <w:r w:rsidRPr="007D458C">
        <w:rPr>
          <w:rFonts w:ascii="Calibri" w:eastAsia="Calibri" w:hAnsi="Calibri" w:cs="B Nazanin" w:hint="eastAsia"/>
          <w:sz w:val="24"/>
          <w:szCs w:val="24"/>
          <w:rtl/>
          <w:lang w:bidi="fa-IR"/>
        </w:rPr>
        <w:t>ران</w:t>
      </w:r>
      <w:r w:rsidRPr="007D458C">
        <w:rPr>
          <w:rFonts w:ascii="Calibri" w:eastAsia="Calibri" w:hAnsi="Calibri" w:cs="B Nazanin"/>
          <w:sz w:val="24"/>
          <w:szCs w:val="24"/>
          <w:lang w:bidi="fa-IR"/>
        </w:rPr>
        <w:t xml:space="preserve">  .</w:t>
      </w:r>
    </w:p>
    <w:p w14:paraId="55920CE1" w14:textId="77777777" w:rsidR="00CF69B3" w:rsidRDefault="00CF69B3" w:rsidP="00CF69B3">
      <w:pPr>
        <w:numPr>
          <w:ilvl w:val="0"/>
          <w:numId w:val="6"/>
        </w:numPr>
        <w:bidi/>
        <w:spacing w:after="200" w:line="276" w:lineRule="auto"/>
        <w:contextualSpacing/>
        <w:rPr>
          <w:rFonts w:ascii="Calibri" w:eastAsia="Calibri" w:hAnsi="Calibri" w:cs="B Nazanin"/>
          <w:sz w:val="24"/>
          <w:szCs w:val="24"/>
          <w:lang w:bidi="fa-IR"/>
        </w:rPr>
      </w:pPr>
      <w:r w:rsidRPr="007D458C">
        <w:rPr>
          <w:rFonts w:ascii="Calibri" w:eastAsia="Calibri" w:hAnsi="Calibri" w:cs="B Nazanin"/>
          <w:sz w:val="24"/>
          <w:szCs w:val="24"/>
          <w:rtl/>
          <w:lang w:bidi="fa-IR"/>
        </w:rPr>
        <w:t>گروه دامپزشک</w:t>
      </w:r>
      <w:r w:rsidRPr="007D458C">
        <w:rPr>
          <w:rFonts w:ascii="Calibri" w:eastAsia="Calibri" w:hAnsi="Calibri" w:cs="B Nazanin" w:hint="cs"/>
          <w:sz w:val="24"/>
          <w:szCs w:val="24"/>
          <w:rtl/>
          <w:lang w:bidi="fa-IR"/>
        </w:rPr>
        <w:t>ی</w:t>
      </w:r>
      <w:r w:rsidRPr="007D458C">
        <w:rPr>
          <w:rFonts w:ascii="Calibri" w:eastAsia="Calibri" w:hAnsi="Calibri" w:cs="B Nazanin" w:hint="eastAsia"/>
          <w:sz w:val="24"/>
          <w:szCs w:val="24"/>
          <w:rtl/>
          <w:lang w:bidi="fa-IR"/>
        </w:rPr>
        <w:t>،</w:t>
      </w:r>
      <w:r w:rsidRPr="007D458C">
        <w:rPr>
          <w:rFonts w:ascii="Calibri" w:eastAsia="Calibri" w:hAnsi="Calibri" w:cs="B Nazanin"/>
          <w:sz w:val="24"/>
          <w:szCs w:val="24"/>
          <w:rtl/>
          <w:lang w:bidi="fa-IR"/>
        </w:rPr>
        <w:t xml:space="preserve"> واحد بهبهان، دانشگاه آزاد اسلام</w:t>
      </w:r>
      <w:r w:rsidRPr="007D458C">
        <w:rPr>
          <w:rFonts w:ascii="Calibri" w:eastAsia="Calibri" w:hAnsi="Calibri" w:cs="B Nazanin" w:hint="cs"/>
          <w:sz w:val="24"/>
          <w:szCs w:val="24"/>
          <w:rtl/>
          <w:lang w:bidi="fa-IR"/>
        </w:rPr>
        <w:t>ی</w:t>
      </w:r>
      <w:r w:rsidRPr="007D458C">
        <w:rPr>
          <w:rFonts w:ascii="Calibri" w:eastAsia="Calibri" w:hAnsi="Calibri" w:cs="B Nazanin" w:hint="eastAsia"/>
          <w:sz w:val="24"/>
          <w:szCs w:val="24"/>
          <w:rtl/>
          <w:lang w:bidi="fa-IR"/>
        </w:rPr>
        <w:t>،</w:t>
      </w:r>
      <w:r w:rsidRPr="007D458C">
        <w:rPr>
          <w:rFonts w:ascii="Calibri" w:eastAsia="Calibri" w:hAnsi="Calibri" w:cs="B Nazanin"/>
          <w:sz w:val="24"/>
          <w:szCs w:val="24"/>
          <w:rtl/>
          <w:lang w:bidi="fa-IR"/>
        </w:rPr>
        <w:t xml:space="preserve"> بهبهان، ا</w:t>
      </w:r>
      <w:r w:rsidRPr="007D458C">
        <w:rPr>
          <w:rFonts w:ascii="Calibri" w:eastAsia="Calibri" w:hAnsi="Calibri" w:cs="B Nazanin" w:hint="cs"/>
          <w:sz w:val="24"/>
          <w:szCs w:val="24"/>
          <w:rtl/>
          <w:lang w:bidi="fa-IR"/>
        </w:rPr>
        <w:t>ی</w:t>
      </w:r>
      <w:r w:rsidRPr="007D458C">
        <w:rPr>
          <w:rFonts w:ascii="Calibri" w:eastAsia="Calibri" w:hAnsi="Calibri" w:cs="B Nazanin" w:hint="eastAsia"/>
          <w:sz w:val="24"/>
          <w:szCs w:val="24"/>
          <w:rtl/>
          <w:lang w:bidi="fa-IR"/>
        </w:rPr>
        <w:t>ران</w:t>
      </w:r>
      <w:r w:rsidRPr="007D458C">
        <w:rPr>
          <w:rFonts w:ascii="Calibri" w:eastAsia="Calibri" w:hAnsi="Calibri" w:cs="B Nazanin"/>
          <w:sz w:val="24"/>
          <w:szCs w:val="24"/>
          <w:lang w:bidi="fa-IR"/>
        </w:rPr>
        <w:t xml:space="preserve"> * .</w:t>
      </w:r>
    </w:p>
    <w:p w14:paraId="312D2EB7" w14:textId="77777777" w:rsidR="00CF69B3" w:rsidRDefault="00CF69B3" w:rsidP="00CF69B3">
      <w:pPr>
        <w:tabs>
          <w:tab w:val="left" w:pos="6900"/>
        </w:tabs>
        <w:bidi/>
        <w:rPr>
          <w:rFonts w:ascii="Times New Roman" w:hAnsi="Times New Roman" w:cs="B Nazanin"/>
          <w:sz w:val="24"/>
          <w:rtl/>
        </w:rPr>
      </w:pPr>
    </w:p>
    <w:p w14:paraId="2D65F1FB" w14:textId="77777777" w:rsidR="00CF69B3" w:rsidRDefault="00CF69B3" w:rsidP="00CF69B3">
      <w:pPr>
        <w:pStyle w:val="1"/>
        <w:rPr>
          <w:rFonts w:cs="B Nazanin"/>
          <w:b w:val="0"/>
          <w:sz w:val="24"/>
          <w:rtl/>
        </w:rPr>
      </w:pPr>
      <w:bookmarkStart w:id="1" w:name="_Toc202482552"/>
      <w:r w:rsidRPr="000E7F84">
        <w:rPr>
          <w:rFonts w:cs="B Nazanin" w:hint="cs"/>
          <w:b w:val="0"/>
          <w:sz w:val="24"/>
          <w:rtl/>
        </w:rPr>
        <w:t>چکیده</w:t>
      </w:r>
      <w:bookmarkEnd w:id="1"/>
    </w:p>
    <w:p w14:paraId="3B00F94F" w14:textId="77777777" w:rsidR="00CF69B3" w:rsidRPr="009B3FB2" w:rsidRDefault="00CF69B3" w:rsidP="00CF69B3">
      <w:pPr>
        <w:pStyle w:val="a0"/>
        <w:rPr>
          <w:lang w:bidi="fa-IR"/>
        </w:rPr>
      </w:pPr>
      <w:r w:rsidRPr="00E57D5C">
        <w:rPr>
          <w:rFonts w:hint="cs"/>
          <w:b/>
          <w:bCs/>
          <w:rtl/>
          <w:lang w:bidi="fa-IR"/>
        </w:rPr>
        <w:t>مقدمه:</w:t>
      </w:r>
      <w:r>
        <w:rPr>
          <w:rFonts w:hint="cs"/>
          <w:rtl/>
          <w:lang w:bidi="fa-IR"/>
        </w:rPr>
        <w:t xml:space="preserve"> </w:t>
      </w:r>
      <w:r w:rsidRPr="009B3FB2">
        <w:rPr>
          <w:rtl/>
          <w:lang w:bidi="fa-IR"/>
        </w:rPr>
        <w:t>سالمندی با تغییرات التهابی و کاهش کارایی سیستم ایمنی همراه است که می‌تواند منجر به بروز اختلالات عملکردی در بافت‌های مختلف از جمله کبد شود</w:t>
      </w:r>
      <w:r>
        <w:rPr>
          <w:rFonts w:hint="cs"/>
          <w:rtl/>
          <w:lang w:bidi="fa-IR"/>
        </w:rPr>
        <w:t>.</w:t>
      </w:r>
      <w:r w:rsidRPr="009B3FB2">
        <w:rPr>
          <w:lang w:bidi="fa-IR"/>
        </w:rPr>
        <w:t xml:space="preserve"> CXCL1 </w:t>
      </w:r>
      <w:r w:rsidRPr="009B3FB2">
        <w:rPr>
          <w:rtl/>
          <w:lang w:bidi="fa-IR"/>
        </w:rPr>
        <w:t>به</w:t>
      </w:r>
      <w:r>
        <w:rPr>
          <w:rFonts w:hint="cs"/>
          <w:rtl/>
          <w:lang w:bidi="fa-IR"/>
        </w:rPr>
        <w:t xml:space="preserve"> </w:t>
      </w:r>
      <w:r w:rsidRPr="009B3FB2">
        <w:rPr>
          <w:rtl/>
          <w:lang w:bidi="fa-IR"/>
        </w:rPr>
        <w:t xml:space="preserve">‌عنوان یک کموکاین کلیدی در جذب نوتروفیل‌ها و تنظیم پاسخ‌های التهابی شناخته می‌شود. بر همین اساس، مطالعه حاضر با هدف بررسی اثر </w:t>
      </w:r>
      <w:r w:rsidRPr="007B1C9C">
        <w:rPr>
          <w:rtl/>
        </w:rPr>
        <w:t>اپی‌گالوکاتچین گالات</w:t>
      </w:r>
      <w:r>
        <w:rPr>
          <w:rFonts w:hint="cs"/>
          <w:rtl/>
        </w:rPr>
        <w:t xml:space="preserve"> (</w:t>
      </w:r>
      <w:r w:rsidRPr="007B1C9C">
        <w:t>EGCG</w:t>
      </w:r>
      <w:r>
        <w:rPr>
          <w:rFonts w:hint="cs"/>
          <w:rtl/>
        </w:rPr>
        <w:t xml:space="preserve">) </w:t>
      </w:r>
      <w:r w:rsidRPr="009B3FB2">
        <w:rPr>
          <w:rtl/>
          <w:lang w:bidi="fa-IR"/>
        </w:rPr>
        <w:t>بر بیان ژن</w:t>
      </w:r>
      <w:r w:rsidRPr="009B3FB2">
        <w:rPr>
          <w:lang w:bidi="fa-IR"/>
        </w:rPr>
        <w:t xml:space="preserve"> CXCL1 </w:t>
      </w:r>
      <w:r w:rsidRPr="009B3FB2">
        <w:rPr>
          <w:rtl/>
          <w:lang w:bidi="fa-IR"/>
        </w:rPr>
        <w:t>در کبد رت‌های سالمند طراحی و اجرا گردید</w:t>
      </w:r>
      <w:r w:rsidRPr="009B3FB2">
        <w:rPr>
          <w:lang w:bidi="fa-IR"/>
        </w:rPr>
        <w:t>.</w:t>
      </w:r>
    </w:p>
    <w:p w14:paraId="2F691E59" w14:textId="77777777" w:rsidR="00CF69B3" w:rsidRPr="009B3FB2" w:rsidRDefault="00CF69B3" w:rsidP="00CF69B3">
      <w:pPr>
        <w:pStyle w:val="a0"/>
        <w:rPr>
          <w:lang w:bidi="fa-IR"/>
        </w:rPr>
      </w:pPr>
      <w:r w:rsidRPr="009B3FB2">
        <w:rPr>
          <w:b/>
          <w:bCs/>
          <w:rtl/>
          <w:lang w:bidi="fa-IR"/>
        </w:rPr>
        <w:t>روش کار</w:t>
      </w:r>
      <w:r w:rsidRPr="006611E4">
        <w:rPr>
          <w:rFonts w:hint="cs"/>
          <w:b/>
          <w:bCs/>
          <w:rtl/>
          <w:lang w:bidi="fa-IR"/>
        </w:rPr>
        <w:t>:</w:t>
      </w:r>
      <w:r>
        <w:rPr>
          <w:rFonts w:hint="cs"/>
          <w:rtl/>
          <w:lang w:bidi="fa-IR"/>
        </w:rPr>
        <w:t xml:space="preserve"> </w:t>
      </w:r>
      <w:r w:rsidRPr="009B3FB2">
        <w:rPr>
          <w:rtl/>
          <w:lang w:bidi="fa-IR"/>
        </w:rPr>
        <w:t>در این پژوهش، تعداد 40 رت نر بالغ به</w:t>
      </w:r>
      <w:r>
        <w:rPr>
          <w:rFonts w:hint="cs"/>
          <w:rtl/>
          <w:lang w:bidi="fa-IR"/>
        </w:rPr>
        <w:t xml:space="preserve"> </w:t>
      </w:r>
      <w:r w:rsidRPr="009B3FB2">
        <w:rPr>
          <w:rtl/>
          <w:lang w:bidi="fa-IR"/>
        </w:rPr>
        <w:t>‌طور تصادفی در چهار گروه شامل: گروه کنترل، گروه دریافت‌کننده</w:t>
      </w:r>
      <w:r>
        <w:rPr>
          <w:rFonts w:hint="cs"/>
          <w:rtl/>
          <w:lang w:bidi="fa-IR"/>
        </w:rPr>
        <w:t xml:space="preserve"> </w:t>
      </w:r>
      <w:r w:rsidRPr="009B3FB2">
        <w:rPr>
          <w:lang w:bidi="fa-IR"/>
        </w:rPr>
        <w:t>EGCG</w:t>
      </w:r>
      <w:r>
        <w:rPr>
          <w:rFonts w:hint="cs"/>
          <w:rtl/>
          <w:lang w:bidi="fa-IR"/>
        </w:rPr>
        <w:t xml:space="preserve"> (گروه درمان 1)</w:t>
      </w:r>
      <w:r w:rsidRPr="009B3FB2">
        <w:rPr>
          <w:rtl/>
          <w:lang w:bidi="fa-IR"/>
        </w:rPr>
        <w:t>، گروه سالمند القا</w:t>
      </w:r>
      <w:r>
        <w:rPr>
          <w:rFonts w:hint="cs"/>
          <w:rtl/>
          <w:lang w:bidi="fa-IR"/>
        </w:rPr>
        <w:t xml:space="preserve"> </w:t>
      </w:r>
      <w:r w:rsidRPr="009B3FB2">
        <w:rPr>
          <w:rtl/>
          <w:lang w:bidi="fa-IR"/>
        </w:rPr>
        <w:t>شده با دی‌گالاکتوز، و گروه سالمند تحت درمان با</w:t>
      </w:r>
      <w:r w:rsidRPr="009B3FB2">
        <w:rPr>
          <w:lang w:bidi="fa-IR"/>
        </w:rPr>
        <w:t xml:space="preserve"> EGCG</w:t>
      </w:r>
      <w:r>
        <w:rPr>
          <w:rFonts w:hint="cs"/>
          <w:rtl/>
          <w:lang w:bidi="fa-IR"/>
        </w:rPr>
        <w:t xml:space="preserve"> (گروه درمان 2) </w:t>
      </w:r>
      <w:r w:rsidRPr="009B3FB2">
        <w:rPr>
          <w:rtl/>
          <w:lang w:bidi="fa-IR"/>
        </w:rPr>
        <w:t>تقسیم شدند</w:t>
      </w:r>
      <w:r>
        <w:rPr>
          <w:rFonts w:hint="cs"/>
          <w:rtl/>
          <w:lang w:bidi="fa-IR"/>
        </w:rPr>
        <w:t>.</w:t>
      </w:r>
      <w:r w:rsidRPr="009B3FB2">
        <w:rPr>
          <w:lang w:bidi="fa-IR"/>
        </w:rPr>
        <w:t xml:space="preserve"> EGCG </w:t>
      </w:r>
      <w:r w:rsidRPr="009B3FB2">
        <w:rPr>
          <w:rtl/>
          <w:lang w:bidi="fa-IR"/>
        </w:rPr>
        <w:t>به میزان</w:t>
      </w:r>
      <w:r>
        <w:rPr>
          <w:rFonts w:hint="cs"/>
          <w:rtl/>
          <w:lang w:bidi="fa-IR"/>
        </w:rPr>
        <w:t xml:space="preserve"> </w:t>
      </w:r>
      <w:r w:rsidRPr="009B3FB2">
        <w:rPr>
          <w:lang w:bidi="fa-IR"/>
        </w:rPr>
        <w:t>mg/kg</w:t>
      </w:r>
      <w:r w:rsidRPr="009B3FB2">
        <w:rPr>
          <w:rtl/>
          <w:lang w:bidi="fa-IR"/>
        </w:rPr>
        <w:t xml:space="preserve"> </w:t>
      </w:r>
      <w:r>
        <w:rPr>
          <w:rFonts w:hint="cs"/>
          <w:rtl/>
          <w:lang w:bidi="fa-IR"/>
        </w:rPr>
        <w:t>50</w:t>
      </w:r>
      <w:r w:rsidRPr="009B3FB2">
        <w:rPr>
          <w:lang w:bidi="fa-IR"/>
        </w:rPr>
        <w:t xml:space="preserve"> </w:t>
      </w:r>
      <w:r w:rsidRPr="009B3FB2">
        <w:rPr>
          <w:rtl/>
          <w:lang w:bidi="fa-IR"/>
        </w:rPr>
        <w:t>به</w:t>
      </w:r>
      <w:r>
        <w:rPr>
          <w:rFonts w:hint="cs"/>
          <w:rtl/>
          <w:lang w:bidi="fa-IR"/>
        </w:rPr>
        <w:t xml:space="preserve"> </w:t>
      </w:r>
      <w:r w:rsidRPr="009B3FB2">
        <w:rPr>
          <w:rtl/>
          <w:lang w:bidi="fa-IR"/>
        </w:rPr>
        <w:t xml:space="preserve">‌صورت گاواژ خوراکی و به مدت چهار هفته تجویز گردید. پس از پایان دوره مداخله، نمونه‌برداری از بافت کبد انجام شد و میزان بیان ژن </w:t>
      </w:r>
      <w:r w:rsidRPr="009B3FB2">
        <w:rPr>
          <w:lang w:bidi="fa-IR"/>
        </w:rPr>
        <w:t>CXCL1</w:t>
      </w:r>
      <w:r>
        <w:rPr>
          <w:rFonts w:hint="cs"/>
          <w:rtl/>
          <w:lang w:bidi="fa-IR"/>
        </w:rPr>
        <w:t xml:space="preserve"> </w:t>
      </w:r>
      <w:r w:rsidRPr="009B3FB2">
        <w:rPr>
          <w:rtl/>
          <w:lang w:bidi="fa-IR"/>
        </w:rPr>
        <w:t xml:space="preserve">با استفاده از روش </w:t>
      </w:r>
      <w:r w:rsidRPr="009B3FB2">
        <w:rPr>
          <w:lang w:bidi="fa-IR"/>
        </w:rPr>
        <w:t>Real-Time PCR</w:t>
      </w:r>
      <w:r>
        <w:rPr>
          <w:rFonts w:hint="cs"/>
          <w:rtl/>
          <w:lang w:bidi="fa-IR"/>
        </w:rPr>
        <w:t xml:space="preserve"> </w:t>
      </w:r>
      <w:r w:rsidRPr="009B3FB2">
        <w:rPr>
          <w:rtl/>
          <w:lang w:bidi="fa-IR"/>
        </w:rPr>
        <w:t xml:space="preserve">ارزیابی گردید. علاوه بر این، سطوح سیتوکین‌های التهابی </w:t>
      </w:r>
      <w:r w:rsidRPr="009B3FB2">
        <w:rPr>
          <w:lang w:bidi="fa-IR"/>
        </w:rPr>
        <w:t>TNF-α</w:t>
      </w:r>
      <w:r w:rsidRPr="009B3FB2">
        <w:rPr>
          <w:rtl/>
          <w:lang w:bidi="fa-IR"/>
        </w:rPr>
        <w:t xml:space="preserve">، </w:t>
      </w:r>
      <w:r w:rsidRPr="009B3FB2">
        <w:rPr>
          <w:lang w:bidi="fa-IR"/>
        </w:rPr>
        <w:t>IL-6</w:t>
      </w:r>
      <w:r>
        <w:rPr>
          <w:rFonts w:hint="cs"/>
          <w:rtl/>
          <w:lang w:bidi="fa-IR"/>
        </w:rPr>
        <w:t xml:space="preserve"> </w:t>
      </w:r>
      <w:r w:rsidRPr="009B3FB2">
        <w:rPr>
          <w:rtl/>
          <w:lang w:bidi="fa-IR"/>
        </w:rPr>
        <w:t>و</w:t>
      </w:r>
      <w:r w:rsidRPr="009B3FB2">
        <w:rPr>
          <w:lang w:bidi="fa-IR"/>
        </w:rPr>
        <w:t xml:space="preserve"> MCP-1 </w:t>
      </w:r>
      <w:r w:rsidRPr="009B3FB2">
        <w:rPr>
          <w:rtl/>
          <w:lang w:bidi="fa-IR"/>
        </w:rPr>
        <w:t xml:space="preserve">با استفاده از روش </w:t>
      </w:r>
      <w:r>
        <w:rPr>
          <w:rFonts w:hint="cs"/>
          <w:rtl/>
          <w:lang w:bidi="fa-IR"/>
        </w:rPr>
        <w:t xml:space="preserve">الایزا </w:t>
      </w:r>
      <w:r w:rsidRPr="009B3FB2">
        <w:rPr>
          <w:rtl/>
          <w:lang w:bidi="fa-IR"/>
        </w:rPr>
        <w:t>اندازه‌گیری شد</w:t>
      </w:r>
      <w:r w:rsidRPr="009B3FB2">
        <w:rPr>
          <w:lang w:bidi="fa-IR"/>
        </w:rPr>
        <w:t>.</w:t>
      </w:r>
    </w:p>
    <w:p w14:paraId="6EBDFD38" w14:textId="77777777" w:rsidR="00CF69B3" w:rsidRDefault="00CF69B3" w:rsidP="00CF69B3">
      <w:pPr>
        <w:pStyle w:val="a0"/>
        <w:rPr>
          <w:rtl/>
        </w:rPr>
      </w:pPr>
      <w:r w:rsidRPr="00C13A47">
        <w:rPr>
          <w:rFonts w:hint="eastAsia"/>
          <w:b/>
          <w:bCs/>
          <w:rtl/>
        </w:rPr>
        <w:t>نتا</w:t>
      </w:r>
      <w:r w:rsidRPr="00C13A47">
        <w:rPr>
          <w:rFonts w:hint="cs"/>
          <w:b/>
          <w:bCs/>
          <w:rtl/>
        </w:rPr>
        <w:t>ی</w:t>
      </w:r>
      <w:r w:rsidRPr="00C13A47">
        <w:rPr>
          <w:rFonts w:hint="eastAsia"/>
          <w:b/>
          <w:bCs/>
          <w:rtl/>
        </w:rPr>
        <w:t>ج</w:t>
      </w:r>
      <w:r w:rsidRPr="00C13A47">
        <w:rPr>
          <w:b/>
          <w:bCs/>
          <w:rtl/>
        </w:rPr>
        <w:t>:</w:t>
      </w:r>
      <w:r>
        <w:rPr>
          <w:rFonts w:hint="cs"/>
          <w:rtl/>
        </w:rPr>
        <w:t xml:space="preserve"> </w:t>
      </w:r>
      <w:r w:rsidRPr="001307C3">
        <w:rPr>
          <w:rtl/>
          <w:lang w:bidi="fa-IR"/>
        </w:rPr>
        <w:t xml:space="preserve">یافته‌های این مطالعه نشان داد که بیان نسبی ژن </w:t>
      </w:r>
      <w:r w:rsidRPr="001307C3">
        <w:rPr>
          <w:lang w:bidi="fa-IR"/>
        </w:rPr>
        <w:t>CXCL1</w:t>
      </w:r>
      <w:r>
        <w:rPr>
          <w:rFonts w:hint="cs"/>
          <w:rtl/>
          <w:lang w:bidi="fa-IR"/>
        </w:rPr>
        <w:t xml:space="preserve"> </w:t>
      </w:r>
      <w:r w:rsidRPr="001307C3">
        <w:rPr>
          <w:rtl/>
          <w:lang w:bidi="fa-IR"/>
        </w:rPr>
        <w:t>در بافت کبد رت‌ها تحت شرایط درمانی مختلف تغییرات معنی‌داری داشت. در گروه سالمند، کاهش قابل توجه بیان ژن</w:t>
      </w:r>
      <w:r w:rsidRPr="001307C3">
        <w:rPr>
          <w:lang w:bidi="fa-IR"/>
        </w:rPr>
        <w:t xml:space="preserve"> CXCL1 </w:t>
      </w:r>
      <w:r w:rsidRPr="001307C3">
        <w:rPr>
          <w:rtl/>
          <w:lang w:bidi="fa-IR"/>
        </w:rPr>
        <w:t xml:space="preserve">همراه با افزایش چشمگیر سیتوکین‌های التهابی </w:t>
      </w:r>
      <w:r w:rsidRPr="001307C3">
        <w:rPr>
          <w:lang w:bidi="fa-IR"/>
        </w:rPr>
        <w:t>TNF-α</w:t>
      </w:r>
      <w:r w:rsidRPr="001307C3">
        <w:rPr>
          <w:rtl/>
          <w:lang w:bidi="fa-IR"/>
        </w:rPr>
        <w:t xml:space="preserve">، </w:t>
      </w:r>
      <w:r w:rsidRPr="001307C3">
        <w:rPr>
          <w:lang w:bidi="fa-IR"/>
        </w:rPr>
        <w:t>IL-6</w:t>
      </w:r>
      <w:r>
        <w:rPr>
          <w:rFonts w:hint="cs"/>
          <w:rtl/>
          <w:lang w:bidi="fa-IR"/>
        </w:rPr>
        <w:t xml:space="preserve"> </w:t>
      </w:r>
      <w:r w:rsidRPr="001307C3">
        <w:rPr>
          <w:rtl/>
          <w:lang w:bidi="fa-IR"/>
        </w:rPr>
        <w:t>و</w:t>
      </w:r>
      <w:r w:rsidRPr="001307C3">
        <w:rPr>
          <w:lang w:bidi="fa-IR"/>
        </w:rPr>
        <w:t xml:space="preserve"> MCP-1 </w:t>
      </w:r>
      <w:r w:rsidRPr="001307C3">
        <w:rPr>
          <w:rtl/>
          <w:lang w:bidi="fa-IR"/>
        </w:rPr>
        <w:t>مشاهده شد</w:t>
      </w:r>
      <w:r>
        <w:rPr>
          <w:rFonts w:hint="cs"/>
          <w:rtl/>
          <w:lang w:bidi="fa-IR"/>
        </w:rPr>
        <w:t xml:space="preserve"> </w:t>
      </w:r>
      <w:r>
        <w:rPr>
          <w:rFonts w:hint="cs"/>
          <w:rtl/>
        </w:rPr>
        <w:t xml:space="preserve">(001/0 </w:t>
      </w:r>
      <w:r>
        <w:rPr>
          <w:rFonts w:cs="Cambria" w:hint="cs"/>
          <w:rtl/>
        </w:rPr>
        <w:t xml:space="preserve">&gt; </w:t>
      </w:r>
      <w:r>
        <w:rPr>
          <w:rFonts w:cs="Cambria"/>
        </w:rPr>
        <w:t>P</w:t>
      </w:r>
      <w:r>
        <w:rPr>
          <w:rFonts w:hint="cs"/>
          <w:rtl/>
        </w:rPr>
        <w:t>).</w:t>
      </w:r>
      <w:r w:rsidRPr="001307C3">
        <w:rPr>
          <w:rtl/>
          <w:lang w:bidi="fa-IR"/>
        </w:rPr>
        <w:t xml:space="preserve"> در مقابل، گروه درمانی 1 که </w:t>
      </w:r>
      <w:r w:rsidRPr="001307C3">
        <w:rPr>
          <w:lang w:bidi="fa-IR"/>
        </w:rPr>
        <w:t>EGCG</w:t>
      </w:r>
      <w:r>
        <w:rPr>
          <w:rFonts w:hint="cs"/>
          <w:rtl/>
          <w:lang w:bidi="fa-IR"/>
        </w:rPr>
        <w:t xml:space="preserve"> </w:t>
      </w:r>
      <w:r w:rsidRPr="001307C3">
        <w:rPr>
          <w:rtl/>
          <w:lang w:bidi="fa-IR"/>
        </w:rPr>
        <w:t>دریافت کرده بود، بالاترین سطح بیان</w:t>
      </w:r>
      <w:r w:rsidRPr="001307C3">
        <w:rPr>
          <w:lang w:bidi="fa-IR"/>
        </w:rPr>
        <w:t xml:space="preserve"> CXCL1 </w:t>
      </w:r>
      <w:r w:rsidRPr="001307C3">
        <w:rPr>
          <w:rtl/>
          <w:lang w:bidi="fa-IR"/>
        </w:rPr>
        <w:t>و کاهش قابل توجه سیتوکین‌های التهابی را نشان داد</w:t>
      </w:r>
      <w:r>
        <w:rPr>
          <w:rFonts w:hint="cs"/>
          <w:rtl/>
          <w:lang w:bidi="fa-IR"/>
        </w:rPr>
        <w:t xml:space="preserve"> </w:t>
      </w:r>
      <w:r>
        <w:rPr>
          <w:rFonts w:hint="cs"/>
          <w:rtl/>
        </w:rPr>
        <w:t xml:space="preserve">(001/0 </w:t>
      </w:r>
      <w:r>
        <w:rPr>
          <w:rFonts w:cs="Cambria" w:hint="cs"/>
          <w:rtl/>
        </w:rPr>
        <w:t xml:space="preserve">&gt; </w:t>
      </w:r>
      <w:r>
        <w:rPr>
          <w:rFonts w:cs="Cambria"/>
        </w:rPr>
        <w:t>P</w:t>
      </w:r>
      <w:r>
        <w:rPr>
          <w:rFonts w:hint="cs"/>
          <w:rtl/>
        </w:rPr>
        <w:t>)</w:t>
      </w:r>
      <w:r w:rsidRPr="001307C3">
        <w:rPr>
          <w:rtl/>
          <w:lang w:bidi="fa-IR"/>
        </w:rPr>
        <w:t xml:space="preserve">؛ همچنین در گروه درمانی 2، </w:t>
      </w:r>
      <w:r w:rsidRPr="001307C3">
        <w:rPr>
          <w:lang w:bidi="fa-IR"/>
        </w:rPr>
        <w:t>EGCG</w:t>
      </w:r>
      <w:r>
        <w:rPr>
          <w:rFonts w:hint="cs"/>
          <w:rtl/>
          <w:lang w:bidi="fa-IR"/>
        </w:rPr>
        <w:t xml:space="preserve"> </w:t>
      </w:r>
      <w:r w:rsidRPr="001307C3">
        <w:rPr>
          <w:rtl/>
          <w:lang w:bidi="fa-IR"/>
        </w:rPr>
        <w:t>توانست تغییرات ناشی از سالمندی را تعدیل کرده و سطح سیتوکین‌ها را به محدوده طبیعی بازگرداند، به‌گونه‌ای که تفاوتی با گروه کنترل مشاهده نشد</w:t>
      </w:r>
      <w:r>
        <w:rPr>
          <w:rFonts w:hint="cs"/>
          <w:rtl/>
          <w:lang w:bidi="fa-IR"/>
        </w:rPr>
        <w:t xml:space="preserve"> </w:t>
      </w:r>
      <w:r>
        <w:rPr>
          <w:rFonts w:hint="cs"/>
          <w:rtl/>
        </w:rPr>
        <w:t xml:space="preserve">(05/0 </w:t>
      </w:r>
      <w:r>
        <w:rPr>
          <w:rFonts w:cs="Cambria" w:hint="cs"/>
          <w:rtl/>
        </w:rPr>
        <w:t xml:space="preserve">&lt; </w:t>
      </w:r>
      <w:r>
        <w:rPr>
          <w:rFonts w:cs="Cambria"/>
        </w:rPr>
        <w:t>P</w:t>
      </w:r>
      <w:r w:rsidRPr="0026462C">
        <w:rPr>
          <w:rFonts w:hint="cs"/>
          <w:rtl/>
        </w:rPr>
        <w:t>).</w:t>
      </w:r>
    </w:p>
    <w:p w14:paraId="09A832BA" w14:textId="77777777" w:rsidR="00CF69B3" w:rsidRPr="00BC413F" w:rsidRDefault="00CF69B3" w:rsidP="00CF69B3">
      <w:pPr>
        <w:pStyle w:val="a0"/>
        <w:rPr>
          <w:rtl/>
          <w:lang w:bidi="fa-IR"/>
        </w:rPr>
      </w:pPr>
      <w:r w:rsidRPr="00C13A47">
        <w:rPr>
          <w:rFonts w:hint="eastAsia"/>
          <w:b/>
          <w:bCs/>
          <w:rtl/>
        </w:rPr>
        <w:t>نت</w:t>
      </w:r>
      <w:r w:rsidRPr="00C13A47">
        <w:rPr>
          <w:rFonts w:hint="cs"/>
          <w:b/>
          <w:bCs/>
          <w:rtl/>
        </w:rPr>
        <w:t>ی</w:t>
      </w:r>
      <w:r w:rsidRPr="00C13A47">
        <w:rPr>
          <w:rFonts w:hint="eastAsia"/>
          <w:b/>
          <w:bCs/>
          <w:rtl/>
        </w:rPr>
        <w:t>جه‌گ</w:t>
      </w:r>
      <w:r w:rsidRPr="00C13A47">
        <w:rPr>
          <w:rFonts w:hint="cs"/>
          <w:b/>
          <w:bCs/>
          <w:rtl/>
        </w:rPr>
        <w:t>ی</w:t>
      </w:r>
      <w:r w:rsidRPr="00C13A47">
        <w:rPr>
          <w:rFonts w:hint="eastAsia"/>
          <w:b/>
          <w:bCs/>
          <w:rtl/>
        </w:rPr>
        <w:t>ر</w:t>
      </w:r>
      <w:r w:rsidRPr="00C13A47">
        <w:rPr>
          <w:rFonts w:hint="cs"/>
          <w:b/>
          <w:bCs/>
          <w:rtl/>
        </w:rPr>
        <w:t>ی</w:t>
      </w:r>
      <w:r w:rsidRPr="00C13A47">
        <w:rPr>
          <w:b/>
          <w:bCs/>
          <w:rtl/>
        </w:rPr>
        <w:t>:</w:t>
      </w:r>
      <w:r>
        <w:rPr>
          <w:rFonts w:hint="cs"/>
          <w:rtl/>
        </w:rPr>
        <w:t xml:space="preserve"> </w:t>
      </w:r>
      <w:r w:rsidRPr="001307C3">
        <w:rPr>
          <w:rtl/>
          <w:lang w:bidi="fa-IR"/>
        </w:rPr>
        <w:t>به</w:t>
      </w:r>
      <w:r>
        <w:rPr>
          <w:rFonts w:hint="cs"/>
          <w:rtl/>
          <w:lang w:bidi="fa-IR"/>
        </w:rPr>
        <w:t xml:space="preserve"> </w:t>
      </w:r>
      <w:r w:rsidRPr="001307C3">
        <w:rPr>
          <w:rtl/>
          <w:lang w:bidi="fa-IR"/>
        </w:rPr>
        <w:t>‌طور کلی، نتایج این پژوهش نشان می‌دهد که</w:t>
      </w:r>
      <w:r w:rsidRPr="001307C3">
        <w:rPr>
          <w:lang w:bidi="fa-IR"/>
        </w:rPr>
        <w:t xml:space="preserve"> EGCG </w:t>
      </w:r>
      <w:r w:rsidRPr="001307C3">
        <w:rPr>
          <w:rtl/>
          <w:lang w:bidi="fa-IR"/>
        </w:rPr>
        <w:t>علاوه بر اثرات ضدالتهابی در شرایط سالم، قادر است پاسخ‌های التهابی ناشی از سالمندی را نیز خنثی و بازآرایی نماید. این ترکیب می‌تواند به</w:t>
      </w:r>
      <w:r>
        <w:rPr>
          <w:rFonts w:hint="cs"/>
          <w:rtl/>
          <w:lang w:bidi="fa-IR"/>
        </w:rPr>
        <w:t xml:space="preserve"> </w:t>
      </w:r>
      <w:r w:rsidRPr="001307C3">
        <w:rPr>
          <w:rtl/>
          <w:lang w:bidi="fa-IR"/>
        </w:rPr>
        <w:t xml:space="preserve">‌عنوان </w:t>
      </w:r>
      <w:r w:rsidRPr="001307C3">
        <w:rPr>
          <w:rtl/>
          <w:lang w:bidi="fa-IR"/>
        </w:rPr>
        <w:lastRenderedPageBreak/>
        <w:t>یک عامل طبیعی با خواص چندوجهی در تعدیل التهاب، تنظیم ایمنی و کاهش اثرات منفی سالمندی بر عملکرد کبد مطرح شود</w:t>
      </w:r>
      <w:r w:rsidRPr="001307C3">
        <w:rPr>
          <w:lang w:bidi="fa-IR"/>
        </w:rPr>
        <w:t>.</w:t>
      </w:r>
    </w:p>
    <w:p w14:paraId="14AEB3E8" w14:textId="77777777" w:rsidR="00CF69B3" w:rsidRDefault="00CF69B3" w:rsidP="00CF69B3">
      <w:pPr>
        <w:pStyle w:val="a0"/>
        <w:rPr>
          <w:rtl/>
        </w:rPr>
      </w:pPr>
      <w:r w:rsidRPr="00C13A47">
        <w:rPr>
          <w:rFonts w:hint="eastAsia"/>
          <w:b/>
          <w:bCs/>
          <w:rtl/>
        </w:rPr>
        <w:t>کلمات</w:t>
      </w:r>
      <w:r w:rsidRPr="00C13A47">
        <w:rPr>
          <w:b/>
          <w:bCs/>
          <w:rtl/>
        </w:rPr>
        <w:t xml:space="preserve"> کل</w:t>
      </w:r>
      <w:r w:rsidRPr="00C13A47">
        <w:rPr>
          <w:rFonts w:hint="cs"/>
          <w:b/>
          <w:bCs/>
          <w:rtl/>
        </w:rPr>
        <w:t>ی</w:t>
      </w:r>
      <w:r w:rsidRPr="00C13A47">
        <w:rPr>
          <w:rFonts w:hint="eastAsia"/>
          <w:b/>
          <w:bCs/>
          <w:rtl/>
        </w:rPr>
        <w:t>د</w:t>
      </w:r>
      <w:r w:rsidRPr="00C13A47">
        <w:rPr>
          <w:rFonts w:hint="cs"/>
          <w:b/>
          <w:bCs/>
          <w:rtl/>
        </w:rPr>
        <w:t>ی</w:t>
      </w:r>
      <w:r w:rsidRPr="00C13A47">
        <w:rPr>
          <w:b/>
          <w:bCs/>
          <w:rtl/>
        </w:rPr>
        <w:t>:</w:t>
      </w:r>
      <w:r>
        <w:rPr>
          <w:rFonts w:hint="cs"/>
          <w:rtl/>
        </w:rPr>
        <w:t xml:space="preserve"> </w:t>
      </w:r>
      <w:r w:rsidRPr="00BC413F">
        <w:t>EGCG</w:t>
      </w:r>
      <w:r w:rsidRPr="00BC413F">
        <w:rPr>
          <w:rtl/>
        </w:rPr>
        <w:t xml:space="preserve">، </w:t>
      </w:r>
      <w:r w:rsidRPr="00BC413F">
        <w:t>CXCL1</w:t>
      </w:r>
      <w:r w:rsidRPr="00BC413F">
        <w:rPr>
          <w:rtl/>
        </w:rPr>
        <w:t>، سالمند</w:t>
      </w:r>
      <w:r w:rsidRPr="00BC413F">
        <w:rPr>
          <w:rFonts w:hint="cs"/>
          <w:rtl/>
        </w:rPr>
        <w:t>ی</w:t>
      </w:r>
      <w:r w:rsidRPr="00BC413F">
        <w:rPr>
          <w:rFonts w:hint="eastAsia"/>
          <w:rtl/>
        </w:rPr>
        <w:t>،</w:t>
      </w:r>
      <w:r w:rsidRPr="00BC413F">
        <w:rPr>
          <w:rtl/>
        </w:rPr>
        <w:t xml:space="preserve"> التهاب، کبد، </w:t>
      </w:r>
      <w:r>
        <w:rPr>
          <w:rFonts w:hint="cs"/>
          <w:rtl/>
        </w:rPr>
        <w:t>رت</w:t>
      </w:r>
      <w:r w:rsidRPr="00BC413F">
        <w:rPr>
          <w:rtl/>
        </w:rPr>
        <w:t xml:space="preserve"> آزما</w:t>
      </w:r>
      <w:r w:rsidRPr="00BC413F">
        <w:rPr>
          <w:rFonts w:hint="cs"/>
          <w:rtl/>
        </w:rPr>
        <w:t>ی</w:t>
      </w:r>
      <w:r w:rsidRPr="00BC413F">
        <w:rPr>
          <w:rFonts w:hint="eastAsia"/>
          <w:rtl/>
        </w:rPr>
        <w:t>شگاه</w:t>
      </w:r>
      <w:r w:rsidRPr="00BC413F">
        <w:rPr>
          <w:rFonts w:hint="cs"/>
          <w:rtl/>
        </w:rPr>
        <w:t>ی</w:t>
      </w:r>
    </w:p>
    <w:p w14:paraId="0D3896D0" w14:textId="77777777" w:rsidR="00CF69B3" w:rsidRDefault="00CF69B3" w:rsidP="00CF69B3">
      <w:pPr>
        <w:pStyle w:val="a0"/>
        <w:rPr>
          <w:highlight w:val="yellow"/>
          <w:rtl/>
        </w:rPr>
      </w:pPr>
    </w:p>
    <w:p w14:paraId="4EFE60A2" w14:textId="77777777" w:rsidR="00CF69B3" w:rsidRPr="00151ECF" w:rsidRDefault="00CF69B3" w:rsidP="00CF69B3">
      <w:pPr>
        <w:pStyle w:val="a0"/>
        <w:bidi w:val="0"/>
        <w:jc w:val="center"/>
      </w:pPr>
      <w:r w:rsidRPr="00151ECF">
        <w:rPr>
          <w:b/>
          <w:bCs/>
        </w:rPr>
        <w:t>Investigation of the Effect of EGCG on the Expression of the Immune Factor CXCL1 in the Liver Tissue of Aged Laboratory Rats</w:t>
      </w:r>
    </w:p>
    <w:p w14:paraId="629CF325" w14:textId="77777777" w:rsidR="00CF69B3" w:rsidRPr="007D458C" w:rsidRDefault="00CF69B3" w:rsidP="00CF69B3">
      <w:pPr>
        <w:bidi/>
        <w:spacing w:after="200" w:line="276" w:lineRule="auto"/>
        <w:ind w:left="720"/>
        <w:contextualSpacing/>
        <w:rPr>
          <w:rFonts w:ascii="Calibri" w:eastAsia="Calibri" w:hAnsi="Calibri" w:cs="B Nazanin"/>
          <w:sz w:val="24"/>
          <w:szCs w:val="24"/>
          <w:lang w:bidi="fa-IR"/>
        </w:rPr>
      </w:pPr>
    </w:p>
    <w:p w14:paraId="3A28C60E" w14:textId="77777777" w:rsidR="00CF69B3" w:rsidRPr="00BC003C" w:rsidRDefault="00CF69B3" w:rsidP="00CF69B3">
      <w:pPr>
        <w:rPr>
          <w:rFonts w:asciiTheme="majorBidi" w:hAnsiTheme="majorBidi" w:cstheme="majorBidi"/>
          <w:sz w:val="20"/>
          <w:szCs w:val="20"/>
        </w:rPr>
      </w:pPr>
      <w:r w:rsidRPr="00BC003C">
        <w:rPr>
          <w:rFonts w:ascii="Times New Roman" w:eastAsia="Calibri" w:hAnsi="Times New Roman" w:cs="B Nazanin"/>
          <w:lang w:bidi="fa-IR"/>
        </w:rPr>
        <w:t xml:space="preserve">Leila </w:t>
      </w:r>
      <w:proofErr w:type="spellStart"/>
      <w:proofErr w:type="gramStart"/>
      <w:r w:rsidRPr="00BC003C">
        <w:rPr>
          <w:rFonts w:ascii="Times New Roman" w:eastAsia="Calibri" w:hAnsi="Times New Roman" w:cs="B Nazanin"/>
          <w:lang w:bidi="fa-IR"/>
        </w:rPr>
        <w:t>Derakhshan</w:t>
      </w:r>
      <w:proofErr w:type="spellEnd"/>
      <w:r w:rsidRPr="00BC003C">
        <w:rPr>
          <w:rFonts w:ascii="Times New Roman" w:eastAsia="Calibri" w:hAnsi="Times New Roman" w:cs="B Nazanin" w:hint="cs"/>
          <w:vertAlign w:val="superscript"/>
          <w:rtl/>
          <w:lang w:bidi="fa-IR"/>
        </w:rPr>
        <w:t xml:space="preserve"> </w:t>
      </w:r>
      <w:r w:rsidRPr="00BC003C">
        <w:rPr>
          <w:rFonts w:asciiTheme="majorBidi" w:hAnsiTheme="majorBidi" w:cstheme="majorBidi"/>
          <w:sz w:val="20"/>
          <w:szCs w:val="20"/>
        </w:rPr>
        <w:t xml:space="preserve"> </w:t>
      </w:r>
      <w:r w:rsidRPr="00BC003C">
        <w:rPr>
          <w:rFonts w:asciiTheme="majorBidi" w:hAnsiTheme="majorBidi" w:cstheme="majorBidi"/>
          <w:sz w:val="20"/>
          <w:szCs w:val="20"/>
          <w:vertAlign w:val="superscript"/>
        </w:rPr>
        <w:t>1</w:t>
      </w:r>
      <w:proofErr w:type="gramEnd"/>
      <w:r w:rsidRPr="00BC003C">
        <w:rPr>
          <w:rFonts w:asciiTheme="majorBidi" w:hAnsiTheme="majorBidi" w:cstheme="majorBidi"/>
          <w:sz w:val="20"/>
          <w:szCs w:val="20"/>
        </w:rPr>
        <w:t xml:space="preserve">, </w:t>
      </w:r>
      <w:proofErr w:type="spellStart"/>
      <w:r w:rsidRPr="00BC003C">
        <w:rPr>
          <w:rFonts w:asciiTheme="majorBidi" w:hAnsiTheme="majorBidi" w:cstheme="majorBidi"/>
          <w:sz w:val="20"/>
          <w:szCs w:val="20"/>
        </w:rPr>
        <w:t>Seyyed</w:t>
      </w:r>
      <w:proofErr w:type="spellEnd"/>
      <w:r w:rsidRPr="00BC003C">
        <w:rPr>
          <w:rFonts w:asciiTheme="majorBidi" w:hAnsiTheme="majorBidi" w:cstheme="majorBidi"/>
          <w:sz w:val="20"/>
          <w:szCs w:val="20"/>
        </w:rPr>
        <w:t xml:space="preserve"> </w:t>
      </w:r>
      <w:proofErr w:type="spellStart"/>
      <w:r w:rsidRPr="00BC003C">
        <w:rPr>
          <w:rFonts w:asciiTheme="majorBidi" w:hAnsiTheme="majorBidi" w:cstheme="majorBidi"/>
          <w:sz w:val="20"/>
          <w:szCs w:val="20"/>
        </w:rPr>
        <w:t>Morteza</w:t>
      </w:r>
      <w:proofErr w:type="spellEnd"/>
      <w:r w:rsidRPr="00BC003C">
        <w:rPr>
          <w:rFonts w:asciiTheme="majorBidi" w:hAnsiTheme="majorBidi" w:cstheme="majorBidi"/>
          <w:sz w:val="20"/>
          <w:szCs w:val="20"/>
        </w:rPr>
        <w:t xml:space="preserve"> </w:t>
      </w:r>
      <w:proofErr w:type="spellStart"/>
      <w:r w:rsidRPr="00BC003C">
        <w:rPr>
          <w:rFonts w:asciiTheme="majorBidi" w:hAnsiTheme="majorBidi" w:cstheme="majorBidi"/>
          <w:sz w:val="20"/>
          <w:szCs w:val="20"/>
        </w:rPr>
        <w:t>Razaghi</w:t>
      </w:r>
      <w:proofErr w:type="spellEnd"/>
      <w:r w:rsidRPr="00BC003C">
        <w:rPr>
          <w:rFonts w:asciiTheme="majorBidi" w:hAnsiTheme="majorBidi" w:cstheme="majorBidi"/>
          <w:sz w:val="20"/>
          <w:szCs w:val="20"/>
        </w:rPr>
        <w:t xml:space="preserve"> </w:t>
      </w:r>
      <w:proofErr w:type="spellStart"/>
      <w:r w:rsidRPr="00BC003C">
        <w:rPr>
          <w:rFonts w:asciiTheme="majorBidi" w:hAnsiTheme="majorBidi" w:cstheme="majorBidi"/>
          <w:sz w:val="20"/>
          <w:szCs w:val="20"/>
        </w:rPr>
        <w:t>Manesh</w:t>
      </w:r>
      <w:proofErr w:type="spellEnd"/>
      <w:r w:rsidRPr="00BC003C">
        <w:rPr>
          <w:rFonts w:asciiTheme="majorBidi" w:hAnsiTheme="majorBidi" w:cstheme="majorBidi"/>
          <w:sz w:val="20"/>
          <w:szCs w:val="20"/>
        </w:rPr>
        <w:t xml:space="preserve"> </w:t>
      </w:r>
      <w:r w:rsidRPr="00BC003C">
        <w:rPr>
          <w:rFonts w:asciiTheme="majorBidi" w:hAnsiTheme="majorBidi" w:cstheme="majorBidi"/>
          <w:sz w:val="20"/>
          <w:szCs w:val="20"/>
          <w:vertAlign w:val="superscript"/>
        </w:rPr>
        <w:t>1</w:t>
      </w:r>
      <w:r w:rsidRPr="00BC003C">
        <w:rPr>
          <w:rFonts w:asciiTheme="majorBidi" w:hAnsiTheme="majorBidi" w:cstheme="majorBidi"/>
          <w:sz w:val="20"/>
          <w:szCs w:val="20"/>
        </w:rPr>
        <w:t xml:space="preserve">, </w:t>
      </w:r>
      <w:proofErr w:type="spellStart"/>
      <w:r w:rsidRPr="00BC003C">
        <w:rPr>
          <w:rFonts w:asciiTheme="majorBidi" w:hAnsiTheme="majorBidi" w:cstheme="majorBidi"/>
          <w:sz w:val="20"/>
          <w:szCs w:val="20"/>
        </w:rPr>
        <w:t>Nazanin</w:t>
      </w:r>
      <w:proofErr w:type="spellEnd"/>
      <w:r w:rsidRPr="00BC003C">
        <w:rPr>
          <w:rFonts w:asciiTheme="majorBidi" w:hAnsiTheme="majorBidi" w:cstheme="majorBidi"/>
          <w:sz w:val="20"/>
          <w:szCs w:val="20"/>
        </w:rPr>
        <w:t xml:space="preserve"> </w:t>
      </w:r>
      <w:proofErr w:type="spellStart"/>
      <w:r w:rsidRPr="00BC003C">
        <w:rPr>
          <w:rFonts w:asciiTheme="majorBidi" w:hAnsiTheme="majorBidi" w:cstheme="majorBidi"/>
          <w:sz w:val="20"/>
          <w:szCs w:val="20"/>
        </w:rPr>
        <w:t>Haghighi</w:t>
      </w:r>
      <w:proofErr w:type="spellEnd"/>
      <w:r w:rsidRPr="00BC003C">
        <w:rPr>
          <w:rFonts w:asciiTheme="majorBidi" w:hAnsiTheme="majorBidi" w:cstheme="majorBidi"/>
          <w:sz w:val="20"/>
          <w:szCs w:val="20"/>
        </w:rPr>
        <w:t xml:space="preserve"> </w:t>
      </w:r>
      <w:r w:rsidRPr="00BC003C">
        <w:rPr>
          <w:rFonts w:asciiTheme="majorBidi" w:hAnsiTheme="majorBidi" w:cstheme="majorBidi"/>
          <w:sz w:val="20"/>
          <w:szCs w:val="20"/>
          <w:vertAlign w:val="superscript"/>
        </w:rPr>
        <w:t>1</w:t>
      </w:r>
      <w:r w:rsidRPr="00BC003C">
        <w:rPr>
          <w:rFonts w:asciiTheme="majorBidi" w:hAnsiTheme="majorBidi" w:cstheme="majorBidi"/>
          <w:sz w:val="20"/>
          <w:szCs w:val="20"/>
        </w:rPr>
        <w:t xml:space="preserve">,Seyedeh </w:t>
      </w:r>
      <w:proofErr w:type="spellStart"/>
      <w:r w:rsidRPr="00BC003C">
        <w:rPr>
          <w:rFonts w:asciiTheme="majorBidi" w:hAnsiTheme="majorBidi" w:cstheme="majorBidi"/>
          <w:sz w:val="20"/>
          <w:szCs w:val="20"/>
        </w:rPr>
        <w:t>Ommolbanin</w:t>
      </w:r>
      <w:proofErr w:type="spellEnd"/>
      <w:r w:rsidRPr="00BC003C">
        <w:rPr>
          <w:rFonts w:asciiTheme="majorBidi" w:hAnsiTheme="majorBidi" w:cstheme="majorBidi"/>
          <w:sz w:val="20"/>
          <w:szCs w:val="20"/>
        </w:rPr>
        <w:t xml:space="preserve"> </w:t>
      </w:r>
      <w:proofErr w:type="spellStart"/>
      <w:r w:rsidRPr="00BC003C">
        <w:rPr>
          <w:rFonts w:asciiTheme="majorBidi" w:hAnsiTheme="majorBidi" w:cstheme="majorBidi"/>
          <w:sz w:val="20"/>
          <w:szCs w:val="20"/>
        </w:rPr>
        <w:t>Ghasemian</w:t>
      </w:r>
      <w:proofErr w:type="spellEnd"/>
      <w:r w:rsidRPr="00BC003C">
        <w:rPr>
          <w:rFonts w:asciiTheme="majorBidi" w:hAnsiTheme="majorBidi" w:cstheme="majorBidi"/>
          <w:sz w:val="20"/>
          <w:szCs w:val="20"/>
        </w:rPr>
        <w:t xml:space="preserve"> </w:t>
      </w:r>
      <w:r w:rsidRPr="00BC003C">
        <w:rPr>
          <w:rFonts w:asciiTheme="majorBidi" w:hAnsiTheme="majorBidi" w:cstheme="majorBidi"/>
          <w:sz w:val="20"/>
          <w:szCs w:val="20"/>
          <w:vertAlign w:val="superscript"/>
        </w:rPr>
        <w:t>2*</w:t>
      </w:r>
    </w:p>
    <w:p w14:paraId="4942EB57" w14:textId="77777777" w:rsidR="00CF69B3" w:rsidRDefault="00CF69B3" w:rsidP="00CF69B3">
      <w:pPr>
        <w:pStyle w:val="ListParagraph"/>
        <w:numPr>
          <w:ilvl w:val="0"/>
          <w:numId w:val="7"/>
        </w:numPr>
        <w:rPr>
          <w:rFonts w:cs="Times New Roman"/>
          <w:sz w:val="24"/>
          <w:szCs w:val="24"/>
          <w:lang w:bidi="fa-IR"/>
        </w:rPr>
      </w:pPr>
      <w:r w:rsidRPr="0056629E">
        <w:rPr>
          <w:rFonts w:cs="Times New Roman"/>
          <w:sz w:val="24"/>
          <w:szCs w:val="24"/>
          <w:lang w:bidi="fa-IR"/>
        </w:rPr>
        <w:t xml:space="preserve">Department of Veterinary medicine, </w:t>
      </w:r>
      <w:proofErr w:type="spellStart"/>
      <w:r w:rsidRPr="0056629E">
        <w:rPr>
          <w:rFonts w:cs="Times New Roman"/>
          <w:sz w:val="24"/>
          <w:szCs w:val="24"/>
          <w:lang w:bidi="fa-IR"/>
        </w:rPr>
        <w:t>Sho.C</w:t>
      </w:r>
      <w:proofErr w:type="spellEnd"/>
      <w:r w:rsidRPr="0056629E">
        <w:rPr>
          <w:rFonts w:cs="Times New Roman"/>
          <w:sz w:val="24"/>
          <w:szCs w:val="24"/>
          <w:lang w:bidi="fa-IR"/>
        </w:rPr>
        <w:t xml:space="preserve">., Islamic Azad University, </w:t>
      </w:r>
      <w:proofErr w:type="spellStart"/>
      <w:r w:rsidRPr="0056629E">
        <w:rPr>
          <w:rFonts w:cs="Times New Roman"/>
          <w:sz w:val="24"/>
          <w:szCs w:val="24"/>
          <w:lang w:bidi="fa-IR"/>
        </w:rPr>
        <w:t>Shoushtar</w:t>
      </w:r>
      <w:proofErr w:type="spellEnd"/>
      <w:r w:rsidRPr="0056629E">
        <w:rPr>
          <w:rFonts w:cs="Times New Roman"/>
          <w:sz w:val="24"/>
          <w:szCs w:val="24"/>
          <w:lang w:bidi="fa-IR"/>
        </w:rPr>
        <w:t>, Iran</w:t>
      </w:r>
    </w:p>
    <w:p w14:paraId="274B43CC" w14:textId="77777777" w:rsidR="00CF69B3" w:rsidRPr="0056629E" w:rsidRDefault="00CF69B3" w:rsidP="00CF69B3">
      <w:pPr>
        <w:pStyle w:val="ListParagraph"/>
        <w:numPr>
          <w:ilvl w:val="0"/>
          <w:numId w:val="7"/>
        </w:numPr>
        <w:spacing w:line="360" w:lineRule="auto"/>
        <w:rPr>
          <w:rFonts w:cs="Times New Roman"/>
          <w:sz w:val="24"/>
          <w:szCs w:val="24"/>
          <w:shd w:val="clear" w:color="auto" w:fill="FFFFFF"/>
          <w:rtl/>
          <w:lang w:bidi="fa-IR"/>
        </w:rPr>
      </w:pPr>
      <w:r w:rsidRPr="0056629E">
        <w:rPr>
          <w:rFonts w:cs="Times New Roman"/>
          <w:sz w:val="24"/>
          <w:szCs w:val="24"/>
          <w:lang w:bidi="fa-IR"/>
        </w:rPr>
        <w:t xml:space="preserve">*Department of Veterinary, </w:t>
      </w:r>
      <w:proofErr w:type="spellStart"/>
      <w:r w:rsidRPr="0056629E">
        <w:rPr>
          <w:rFonts w:cs="Times New Roman"/>
          <w:sz w:val="24"/>
          <w:szCs w:val="24"/>
          <w:lang w:bidi="fa-IR"/>
        </w:rPr>
        <w:t>Be.C</w:t>
      </w:r>
      <w:proofErr w:type="spellEnd"/>
      <w:r w:rsidRPr="0056629E">
        <w:rPr>
          <w:rFonts w:cs="Times New Roman"/>
          <w:sz w:val="24"/>
          <w:szCs w:val="24"/>
          <w:lang w:bidi="fa-IR"/>
        </w:rPr>
        <w:t xml:space="preserve">., Islamic Azad University, </w:t>
      </w:r>
      <w:proofErr w:type="spellStart"/>
      <w:r w:rsidRPr="0056629E">
        <w:rPr>
          <w:rFonts w:cs="Times New Roman"/>
          <w:sz w:val="24"/>
          <w:szCs w:val="24"/>
          <w:lang w:bidi="fa-IR"/>
        </w:rPr>
        <w:t>Behbahan</w:t>
      </w:r>
      <w:proofErr w:type="spellEnd"/>
      <w:r w:rsidRPr="0056629E">
        <w:rPr>
          <w:rFonts w:cs="Times New Roman"/>
          <w:sz w:val="24"/>
          <w:szCs w:val="24"/>
          <w:lang w:bidi="fa-IR"/>
        </w:rPr>
        <w:t>, Iran.</w:t>
      </w:r>
      <w:r w:rsidRPr="0056629E">
        <w:rPr>
          <w:rFonts w:eastAsia="Times New Roman" w:cs="Times New Roman"/>
          <w:color w:val="FF0000"/>
          <w:sz w:val="24"/>
          <w:szCs w:val="24"/>
          <w:lang w:bidi="fa-IR"/>
        </w:rPr>
        <w:t xml:space="preserve"> </w:t>
      </w:r>
      <w:r w:rsidRPr="0056629E">
        <w:rPr>
          <w:rFonts w:eastAsia="Times New Roman" w:cs="Times New Roman"/>
          <w:sz w:val="24"/>
          <w:szCs w:val="24"/>
          <w:lang w:bidi="fa-IR"/>
        </w:rPr>
        <w:t xml:space="preserve">ORCID: </w:t>
      </w:r>
      <w:r w:rsidRPr="0056629E">
        <w:rPr>
          <w:rFonts w:cs="Times New Roman"/>
          <w:sz w:val="24"/>
          <w:szCs w:val="24"/>
          <w:shd w:val="clear" w:color="auto" w:fill="FFFFFF"/>
          <w:lang w:bidi="fa-IR"/>
        </w:rPr>
        <w:t>orcid.org/0000-0002-4805-3553</w:t>
      </w:r>
    </w:p>
    <w:p w14:paraId="4DFB546A" w14:textId="77777777" w:rsidR="00CF69B3" w:rsidRPr="007D458C" w:rsidRDefault="00CF69B3" w:rsidP="00CF69B3">
      <w:pPr>
        <w:bidi/>
        <w:jc w:val="right"/>
        <w:rPr>
          <w:rFonts w:ascii="Times New Roman" w:eastAsia="Calibri" w:hAnsi="Times New Roman" w:cs="Times New Roman"/>
          <w:lang w:bidi="fa-IR"/>
        </w:rPr>
      </w:pPr>
    </w:p>
    <w:p w14:paraId="3DE23B7A" w14:textId="77777777" w:rsidR="00CF69B3" w:rsidRPr="007D458C" w:rsidRDefault="00CF69B3" w:rsidP="00CF69B3">
      <w:pPr>
        <w:bidi/>
        <w:jc w:val="right"/>
        <w:rPr>
          <w:rFonts w:ascii="Times New Roman" w:eastAsia="Calibri" w:hAnsi="Times New Roman" w:cs="Times New Roman"/>
          <w:lang w:bidi="fa-IR"/>
        </w:rPr>
      </w:pPr>
      <w:r w:rsidRPr="007D458C">
        <w:rPr>
          <w:rFonts w:ascii="Times New Roman" w:eastAsia="Calibri" w:hAnsi="Times New Roman" w:cs="Times New Roman"/>
          <w:lang w:bidi="fa-IR"/>
        </w:rPr>
        <w:t>*Corresponding Author: Email: Ommolbanin.Ghasemian@iau.ac.ir     Tel/Fax: 09166711485/06152870105-9</w:t>
      </w:r>
    </w:p>
    <w:p w14:paraId="1290A714" w14:textId="77777777" w:rsidR="00CF69B3" w:rsidRDefault="00CF69B3" w:rsidP="00CF69B3">
      <w:pPr>
        <w:pStyle w:val="a0"/>
        <w:bidi w:val="0"/>
        <w:rPr>
          <w:b/>
          <w:bCs/>
        </w:rPr>
      </w:pPr>
    </w:p>
    <w:p w14:paraId="3F23BCCC" w14:textId="77777777" w:rsidR="00CF69B3" w:rsidRDefault="00CF69B3" w:rsidP="00CF69B3">
      <w:pPr>
        <w:pStyle w:val="a0"/>
        <w:bidi w:val="0"/>
        <w:rPr>
          <w:b/>
          <w:bCs/>
        </w:rPr>
      </w:pPr>
    </w:p>
    <w:p w14:paraId="0FCE141A" w14:textId="526671AC" w:rsidR="00CF69B3" w:rsidRDefault="00CF69B3" w:rsidP="00CF69B3">
      <w:pPr>
        <w:pStyle w:val="a0"/>
        <w:bidi w:val="0"/>
      </w:pPr>
      <w:r w:rsidRPr="00151ECF">
        <w:rPr>
          <w:b/>
          <w:bCs/>
        </w:rPr>
        <w:t>Abstract</w:t>
      </w:r>
      <w:r w:rsidRPr="00151ECF">
        <w:t xml:space="preserve"> </w:t>
      </w:r>
    </w:p>
    <w:p w14:paraId="6FE5D67A" w14:textId="77777777" w:rsidR="00CF69B3" w:rsidRPr="00F06CBD" w:rsidRDefault="00CF69B3" w:rsidP="00CF69B3">
      <w:pPr>
        <w:pStyle w:val="a0"/>
        <w:bidi w:val="0"/>
      </w:pPr>
      <w:r w:rsidRPr="00151ECF">
        <w:rPr>
          <w:b/>
          <w:bCs/>
        </w:rPr>
        <w:t>Introduction:</w:t>
      </w:r>
      <w:r w:rsidRPr="00151ECF">
        <w:t xml:space="preserve"> </w:t>
      </w:r>
      <w:r w:rsidRPr="00F06CBD">
        <w:t xml:space="preserve">Aging is associated with inflammatory changes and reduced immune efficiency, which can lead to functional impairments in various tissues, including the liver. CXCL1 is recognized as a key chemokine involved in neutrophil recruitment and regulation of inflammatory responses. Accordingly, the present study was designed and conducted to investigate the effect of Epigallocatechin </w:t>
      </w:r>
      <w:proofErr w:type="spellStart"/>
      <w:r w:rsidRPr="00F06CBD">
        <w:t>gallate</w:t>
      </w:r>
      <w:proofErr w:type="spellEnd"/>
      <w:r w:rsidRPr="00F06CBD">
        <w:t xml:space="preserve"> (EGCG) on CXCL1 gene expression in the liver of aged rats.</w:t>
      </w:r>
    </w:p>
    <w:p w14:paraId="5F61E687" w14:textId="77777777" w:rsidR="00CF69B3" w:rsidRPr="00F06CBD" w:rsidRDefault="00CF69B3" w:rsidP="00CF69B3">
      <w:pPr>
        <w:pStyle w:val="a0"/>
        <w:bidi w:val="0"/>
      </w:pPr>
      <w:r w:rsidRPr="00F06CBD">
        <w:rPr>
          <w:b/>
          <w:bCs/>
        </w:rPr>
        <w:t>Methods:</w:t>
      </w:r>
      <w:r w:rsidRPr="00F06CBD">
        <w:t xml:space="preserve"> In this study, 40 adult male rats were randomly assigned to four groups: control group, EGCG-treated group (treatment group 1), D-galactose-induced aging group, and aged rats treated with EGCG (treatment group 2). EGCG was administered orally by gavage at a dose of 50 mg/kg for four weeks. At the end of the intervention period, liver tissue samples were collected, and CXCL1 gene expression was evaluated using Real-Time PCR. In addition, the levels of inflammatory cytokines TNF-α, IL-6, and MCP-1 were measured using the ELISA method.</w:t>
      </w:r>
    </w:p>
    <w:p w14:paraId="49D5AB93" w14:textId="77777777" w:rsidR="00CF69B3" w:rsidRPr="00151ECF" w:rsidRDefault="00CF69B3" w:rsidP="00CF69B3">
      <w:pPr>
        <w:pStyle w:val="a0"/>
        <w:bidi w:val="0"/>
      </w:pPr>
      <w:r w:rsidRPr="00151ECF">
        <w:rPr>
          <w:b/>
          <w:bCs/>
        </w:rPr>
        <w:t>Results:</w:t>
      </w:r>
      <w:r w:rsidRPr="00151ECF">
        <w:t xml:space="preserve"> The findings demonstrated significant differences in relative CXCL1 gene expression in liver tissue under different treatment conditions. In the aged group, a </w:t>
      </w:r>
      <w:r w:rsidRPr="00151ECF">
        <w:lastRenderedPageBreak/>
        <w:t>marked reduction in CXCL1 expression was observed, accompanied by a significant increase in inflammatory cytokines TNF-α, IL-6, and MCP-1 (P &lt; 0.001). In contrast, the EGCG-treated group (Group 1) showed the highest level of CXCL1 expression and a significant reduction in cytokines (P &lt; 0.001). Furthermore, in the aged rats treated with EGCG (Group 2), EGCG was able to modulate aging-related changes and restore cytokine levels to the normal range, with no significant difference compared to the control group (P &gt; 0.05).</w:t>
      </w:r>
    </w:p>
    <w:p w14:paraId="2523FAC6" w14:textId="77777777" w:rsidR="00CF69B3" w:rsidRPr="00151ECF" w:rsidRDefault="00CF69B3" w:rsidP="00CF69B3">
      <w:pPr>
        <w:pStyle w:val="a0"/>
        <w:bidi w:val="0"/>
      </w:pPr>
      <w:r w:rsidRPr="00151ECF">
        <w:rPr>
          <w:b/>
          <w:bCs/>
        </w:rPr>
        <w:t>Conclusion:</w:t>
      </w:r>
      <w:r w:rsidRPr="00151ECF">
        <w:t xml:space="preserve"> Overall, the results indicate that EGCG, in addition to its anti-inflammatory effects under normal physiological conditions, is capable of neutralizing and reprogramming aging-related inflammatory responses. This compound may serve as a natural agent with multifaceted properties in modulating inflammation, regulating immunity, and mitigating the adverse effects of aging on liver function.</w:t>
      </w:r>
    </w:p>
    <w:p w14:paraId="705845A2" w14:textId="77777777" w:rsidR="00CF69B3" w:rsidRPr="00151ECF" w:rsidRDefault="00CF69B3" w:rsidP="00CF69B3">
      <w:pPr>
        <w:pStyle w:val="a0"/>
        <w:bidi w:val="0"/>
      </w:pPr>
      <w:r w:rsidRPr="00151ECF">
        <w:rPr>
          <w:b/>
          <w:bCs/>
        </w:rPr>
        <w:t>Keywords:</w:t>
      </w:r>
      <w:r w:rsidRPr="00151ECF">
        <w:t xml:space="preserve"> EGCG, CXCL1, aging, inflammation, liver, laboratory rats</w:t>
      </w:r>
    </w:p>
    <w:p w14:paraId="0574518A" w14:textId="77777777" w:rsidR="00CF69B3" w:rsidRPr="00151ECF" w:rsidRDefault="00CF69B3" w:rsidP="00CF69B3">
      <w:pPr>
        <w:pStyle w:val="a0"/>
        <w:bidi w:val="0"/>
        <w:rPr>
          <w:rtl/>
        </w:rPr>
      </w:pPr>
    </w:p>
    <w:p w14:paraId="5A68CE02" w14:textId="77777777" w:rsidR="00CF69B3" w:rsidRDefault="00CF69B3" w:rsidP="00CF69B3">
      <w:pPr>
        <w:pStyle w:val="a0"/>
        <w:bidi w:val="0"/>
        <w:rPr>
          <w:rFonts w:cs="B Nazanin"/>
          <w:sz w:val="24"/>
          <w:rtl/>
        </w:rPr>
      </w:pPr>
    </w:p>
    <w:p w14:paraId="01B40962" w14:textId="77777777" w:rsidR="00CF69B3" w:rsidRPr="00D575BC" w:rsidRDefault="00CF69B3" w:rsidP="00CF69B3">
      <w:pPr>
        <w:pStyle w:val="1"/>
        <w:rPr>
          <w:sz w:val="24"/>
          <w:szCs w:val="24"/>
          <w:rtl/>
        </w:rPr>
      </w:pPr>
      <w:bookmarkStart w:id="2" w:name="_Toc202482553"/>
      <w:bookmarkStart w:id="3" w:name="_Hlk181119377"/>
      <w:r w:rsidRPr="00D575BC">
        <w:rPr>
          <w:sz w:val="24"/>
          <w:szCs w:val="24"/>
          <w:rtl/>
        </w:rPr>
        <w:t>مقدمه</w:t>
      </w:r>
      <w:bookmarkEnd w:id="2"/>
    </w:p>
    <w:bookmarkEnd w:id="3"/>
    <w:p w14:paraId="72D8A23B" w14:textId="77777777" w:rsidR="00CF69B3" w:rsidRPr="00D575BC" w:rsidRDefault="00CF69B3" w:rsidP="00CF69B3">
      <w:pPr>
        <w:pStyle w:val="a0"/>
        <w:rPr>
          <w:sz w:val="24"/>
          <w:szCs w:val="24"/>
        </w:rPr>
      </w:pPr>
      <w:r w:rsidRPr="00D575BC">
        <w:rPr>
          <w:sz w:val="24"/>
          <w:szCs w:val="24"/>
        </w:rPr>
        <w:t>CXCL1</w:t>
      </w:r>
      <w:r w:rsidRPr="00D575BC">
        <w:rPr>
          <w:rFonts w:hint="cs"/>
          <w:sz w:val="24"/>
          <w:szCs w:val="24"/>
          <w:rtl/>
        </w:rPr>
        <w:t xml:space="preserve"> </w:t>
      </w:r>
      <w:r w:rsidRPr="00D575BC">
        <w:rPr>
          <w:sz w:val="24"/>
          <w:szCs w:val="24"/>
          <w:rtl/>
        </w:rPr>
        <w:t xml:space="preserve">یک کموکاین متعلق به خانواده </w:t>
      </w:r>
      <w:r w:rsidRPr="00D575BC">
        <w:rPr>
          <w:sz w:val="24"/>
          <w:szCs w:val="24"/>
        </w:rPr>
        <w:t>CXC</w:t>
      </w:r>
      <w:r w:rsidRPr="00D575BC">
        <w:rPr>
          <w:rFonts w:hint="cs"/>
          <w:sz w:val="24"/>
          <w:szCs w:val="24"/>
          <w:rtl/>
        </w:rPr>
        <w:t xml:space="preserve"> </w:t>
      </w:r>
      <w:r w:rsidRPr="00D575BC">
        <w:rPr>
          <w:sz w:val="24"/>
          <w:szCs w:val="24"/>
          <w:rtl/>
        </w:rPr>
        <w:t>است که نقش محوری در تنظیم پاسخ‌های ایمنی و فرآیندهای التهابی ایفا می‌کند. این مولکول که با نام آنکوژن آلفای تنظیم‌شده با رشد</w:t>
      </w:r>
      <w:r w:rsidRPr="00D575BC">
        <w:rPr>
          <w:rFonts w:hint="cs"/>
          <w:sz w:val="24"/>
          <w:szCs w:val="24"/>
          <w:rtl/>
        </w:rPr>
        <w:t xml:space="preserve"> (</w:t>
      </w:r>
      <w:r w:rsidRPr="00D575BC">
        <w:rPr>
          <w:sz w:val="24"/>
          <w:szCs w:val="24"/>
        </w:rPr>
        <w:t>GROα</w:t>
      </w:r>
      <w:r w:rsidRPr="00D575BC">
        <w:rPr>
          <w:rFonts w:hint="cs"/>
          <w:sz w:val="24"/>
          <w:szCs w:val="24"/>
          <w:rtl/>
        </w:rPr>
        <w:t>)</w:t>
      </w:r>
      <w:r w:rsidRPr="00D575BC">
        <w:rPr>
          <w:sz w:val="24"/>
          <w:szCs w:val="24"/>
        </w:rPr>
        <w:t xml:space="preserve"> </w:t>
      </w:r>
      <w:r w:rsidRPr="00D575BC">
        <w:rPr>
          <w:sz w:val="24"/>
          <w:szCs w:val="24"/>
          <w:rtl/>
        </w:rPr>
        <w:t>نیز شناخته می‌شود، عمدتاً توسط ماکروفاژها، سلول‌های اپیتلیال و اندوتلیال در واکنش به محرک‌های پیش‌التهابی مانند اینترلوکین-</w:t>
      </w:r>
      <w:r w:rsidRPr="00D575BC">
        <w:rPr>
          <w:sz w:val="24"/>
          <w:szCs w:val="24"/>
        </w:rPr>
        <w:t xml:space="preserve">1β </w:t>
      </w:r>
      <w:r w:rsidRPr="00D575BC">
        <w:rPr>
          <w:rFonts w:hint="cs"/>
          <w:sz w:val="24"/>
          <w:szCs w:val="24"/>
          <w:rtl/>
        </w:rPr>
        <w:t xml:space="preserve"> </w:t>
      </w:r>
      <w:r w:rsidRPr="00D575BC">
        <w:rPr>
          <w:sz w:val="24"/>
          <w:szCs w:val="24"/>
          <w:rtl/>
        </w:rPr>
        <w:t>و فاکتور نکروز تومور</w:t>
      </w:r>
      <w:r w:rsidRPr="00D575BC">
        <w:rPr>
          <w:rFonts w:hint="cs"/>
          <w:sz w:val="24"/>
          <w:szCs w:val="24"/>
          <w:rtl/>
        </w:rPr>
        <w:t>-</w:t>
      </w:r>
      <w:r w:rsidRPr="00D575BC">
        <w:rPr>
          <w:sz w:val="24"/>
          <w:szCs w:val="24"/>
        </w:rPr>
        <w:t>α</w:t>
      </w:r>
      <w:r w:rsidRPr="00D575BC">
        <w:rPr>
          <w:rFonts w:hint="cs"/>
          <w:sz w:val="24"/>
          <w:szCs w:val="24"/>
          <w:rtl/>
        </w:rPr>
        <w:t xml:space="preserve"> </w:t>
      </w:r>
      <w:r w:rsidRPr="00D575BC">
        <w:rPr>
          <w:sz w:val="24"/>
          <w:szCs w:val="24"/>
          <w:rtl/>
        </w:rPr>
        <w:t>ترشح می‌گردد</w:t>
      </w:r>
      <w:r w:rsidRPr="00D575BC">
        <w:rPr>
          <w:rFonts w:hint="cs"/>
          <w:sz w:val="24"/>
          <w:szCs w:val="24"/>
          <w:rtl/>
          <w:lang w:bidi="fa-IR"/>
        </w:rPr>
        <w:t xml:space="preserve"> </w:t>
      </w:r>
      <w:r w:rsidRPr="00D575BC">
        <w:rPr>
          <w:sz w:val="24"/>
          <w:szCs w:val="24"/>
          <w:rtl/>
          <w:lang w:bidi="fa-IR"/>
        </w:rPr>
        <w:fldChar w:fldCharType="begin"/>
      </w:r>
      <w:r w:rsidRPr="00D575BC">
        <w:rPr>
          <w:sz w:val="24"/>
          <w:szCs w:val="24"/>
          <w:rtl/>
          <w:lang w:bidi="fa-IR"/>
        </w:rPr>
        <w:instrText xml:space="preserve"> </w:instrText>
      </w:r>
      <w:r w:rsidRPr="00D575BC">
        <w:rPr>
          <w:sz w:val="24"/>
          <w:szCs w:val="24"/>
          <w:lang w:bidi="fa-IR"/>
        </w:rPr>
        <w:instrText>ADDIN EN.CITE &lt;EndNote&gt;&lt;Cite&gt;&lt;Author&gt;Zhou&lt;/Author&gt;&lt;Year&gt;2025&lt;/Year&gt;&lt;RecNum&gt;1&lt;/RecNum&gt;&lt;DisplayText&gt;(1)&lt;/DisplayText&gt;&lt;record&gt;&lt;rec-number&gt;1&lt;/rec-number&gt;&lt;foreign-keys&gt;&lt;key app="EN" db-id="tsp2zzadoxvaapevwpbvp0eq2parp20dee9r" timestamp="1763449195"&gt;1&lt;/key</w:instrText>
      </w:r>
      <w:r w:rsidRPr="00D575BC">
        <w:rPr>
          <w:sz w:val="24"/>
          <w:szCs w:val="24"/>
          <w:rtl/>
          <w:lang w:bidi="fa-IR"/>
        </w:rPr>
        <w:instrText>&gt;&lt;/</w:instrText>
      </w:r>
      <w:r w:rsidRPr="00D575BC">
        <w:rPr>
          <w:sz w:val="24"/>
          <w:szCs w:val="24"/>
          <w:lang w:bidi="fa-IR"/>
        </w:rPr>
        <w:instrText>foreign-keys&gt;&lt;ref-type name="Journal Article"&gt;17&lt;/ref-type&gt;&lt;contributors&gt;&lt;authors&gt;&lt;author&gt;Zhou, Zhiqiang&lt;/author&gt;&lt;author&gt;Wang, Yi&lt;/author&gt;&lt;author&gt;Gao, Zhiqi&lt;/author&gt;&lt;author&gt;Chen, Qiong&lt;/author&gt;&lt;author&gt;Wu, Han&lt;/author&gt;&lt;author&gt;Sun, Jiao&lt;/author&gt;&lt;author&gt;Li</w:instrText>
      </w:r>
      <w:r w:rsidRPr="00D575BC">
        <w:rPr>
          <w:sz w:val="24"/>
          <w:szCs w:val="24"/>
          <w:rtl/>
          <w:lang w:bidi="fa-IR"/>
        </w:rPr>
        <w:instrText xml:space="preserve">, </w:instrText>
      </w:r>
      <w:r w:rsidRPr="00D575BC">
        <w:rPr>
          <w:sz w:val="24"/>
          <w:szCs w:val="24"/>
          <w:lang w:bidi="fa-IR"/>
        </w:rPr>
        <w:instrText>Huilan&lt;/author&gt;&lt;author&gt;Liu, Dong&lt;/author&gt;&lt;author&gt;Shen, Yixin&lt;/author&gt;&lt;/authors&gt;&lt;/contributors&gt;&lt;titles&gt;&lt;title&gt;CXCL1 Promotes Osteoblast Autophagy and Inhibits Ferroptosis Through the Activation of the TGF‐β/Smad Signalling Pathway&lt;/title&gt;&lt;secondary-title&gt;Journal of Cellular and Molecular Medicine&lt;/secondary-title&gt;&lt;/titles&gt;&lt;periodical&gt;&lt;full-title&gt;Journal of Cellular and Molecular Medicine&lt;/full-title&gt;&lt;/periodical&gt;&lt;pages&gt;e70883&lt;/pages&gt;&lt;volume&gt;29&lt;/volume&gt;&lt;number&gt;21&lt;/number&gt;&lt;dates&gt;&lt;year&gt;2025&lt;/year&gt;&lt;/dates&gt;&lt;isbn&gt;1582-1838&lt;/isbn&gt;&lt;urls&gt;&lt;/urls&gt;&lt;/record&gt;&lt;/Cite&gt;&lt;/EndNote</w:instrText>
      </w:r>
      <w:r w:rsidRPr="00D575BC">
        <w:rPr>
          <w:sz w:val="24"/>
          <w:szCs w:val="24"/>
          <w:rtl/>
          <w:lang w:bidi="fa-IR"/>
        </w:rPr>
        <w:instrText>&gt;</w:instrText>
      </w:r>
      <w:r w:rsidRPr="00D575BC">
        <w:rPr>
          <w:sz w:val="24"/>
          <w:szCs w:val="24"/>
          <w:rtl/>
          <w:lang w:bidi="fa-IR"/>
        </w:rPr>
        <w:fldChar w:fldCharType="separate"/>
      </w:r>
      <w:r w:rsidRPr="00D575BC">
        <w:rPr>
          <w:noProof/>
          <w:sz w:val="24"/>
          <w:szCs w:val="24"/>
          <w:rtl/>
          <w:lang w:bidi="fa-IR"/>
        </w:rPr>
        <w:t>(1)</w:t>
      </w:r>
      <w:r w:rsidRPr="00D575BC">
        <w:rPr>
          <w:sz w:val="24"/>
          <w:szCs w:val="24"/>
          <w:rtl/>
          <w:lang w:bidi="fa-IR"/>
        </w:rPr>
        <w:fldChar w:fldCharType="end"/>
      </w:r>
      <w:r w:rsidRPr="00D575BC">
        <w:rPr>
          <w:sz w:val="24"/>
          <w:szCs w:val="24"/>
          <w:rtl/>
        </w:rPr>
        <w:t>. عملکرد اصلی</w:t>
      </w:r>
      <w:r w:rsidRPr="00D575BC">
        <w:rPr>
          <w:sz w:val="24"/>
          <w:szCs w:val="24"/>
        </w:rPr>
        <w:t xml:space="preserve"> CXCL1 </w:t>
      </w:r>
      <w:r w:rsidRPr="00D575BC">
        <w:rPr>
          <w:sz w:val="24"/>
          <w:szCs w:val="24"/>
          <w:rtl/>
        </w:rPr>
        <w:t xml:space="preserve">جذب و فعال‌سازی نوتروفیل‌ها از طریق اتصال به گیرنده </w:t>
      </w:r>
      <w:r w:rsidRPr="00D575BC">
        <w:rPr>
          <w:sz w:val="24"/>
          <w:szCs w:val="24"/>
        </w:rPr>
        <w:t>CXCR2</w:t>
      </w:r>
      <w:r w:rsidRPr="00D575BC">
        <w:rPr>
          <w:rFonts w:hint="cs"/>
          <w:sz w:val="24"/>
          <w:szCs w:val="24"/>
          <w:rtl/>
        </w:rPr>
        <w:t xml:space="preserve"> </w:t>
      </w:r>
      <w:r w:rsidRPr="00D575BC">
        <w:rPr>
          <w:sz w:val="24"/>
          <w:szCs w:val="24"/>
          <w:rtl/>
        </w:rPr>
        <w:t>است؛ فرآیندی که موجب هدایت این سلول‌های ایمنی به محل‌های عفونت یا آسیب بافتی می‌شود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&lt;EndNote&gt;&lt;Cite&gt;&lt;Author&gt;Toya&lt;/Author&gt;&lt;Year&gt;2024&lt;/Year&gt;&lt;RecNum&gt;2&lt;/RecNum&gt;&lt;DisplayText&gt;(2)&lt;/DisplayText&gt;&lt;record&gt;&lt;rec-number&gt;2&lt;/rec-number&gt;&lt;foreign-keys&gt;&lt;key app="EN" db-id="tsp2zzadoxvaapevwpbvp0eq2parp20dee9r" timestamp="1763449354"&gt;2&lt;/key</w:instrText>
      </w:r>
      <w:r w:rsidRPr="00D575BC">
        <w:rPr>
          <w:sz w:val="24"/>
          <w:szCs w:val="24"/>
          <w:rtl/>
        </w:rPr>
        <w:instrText>&gt;&lt;/</w:instrText>
      </w:r>
      <w:r w:rsidRPr="00D575BC">
        <w:rPr>
          <w:sz w:val="24"/>
          <w:szCs w:val="24"/>
        </w:rPr>
        <w:instrText>foreign-keys&gt;&lt;ref-type name="Journal Article"&gt;17&lt;/ref-type&gt;&lt;contributors&gt;&lt;authors&gt;&lt;author&gt;Toya, Sophie&lt;/author&gt;&lt;author&gt;Struyf, Sofie&lt;/author&gt;&lt;author&gt;Huerta, Luis&lt;/author&gt;&lt;author&gt;Morris, Peter&lt;/author&gt;&lt;author&gt;Gavioli, Elizabeth&lt;/author&gt;&lt;author&gt;Minnella, Enrico Maria&lt;/author&gt;&lt;author&gt;Cesta, Maria Candida&lt;/author&gt;&lt;author&gt;Allegretti, Marcello&lt;/author&gt;&lt;author&gt;Proost, Paul&lt;/author&gt;&lt;/authors&gt;&lt;/contributors&gt;&lt;titles&gt;&lt;title&gt;A narrative review of chemokine receptors CXCR1 and CXCR2 and their role in acute respiratory</w:instrText>
      </w:r>
      <w:r w:rsidRPr="00D575BC">
        <w:rPr>
          <w:sz w:val="24"/>
          <w:szCs w:val="24"/>
          <w:rtl/>
        </w:rPr>
        <w:instrText xml:space="preserve"> </w:instrText>
      </w:r>
      <w:r w:rsidRPr="00D575BC">
        <w:rPr>
          <w:sz w:val="24"/>
          <w:szCs w:val="24"/>
        </w:rPr>
        <w:instrText>distress syndrome&lt;/title&gt;&lt;secondary-title&gt;European Respiratory Review&lt;/secondary-title&gt;&lt;/titles&gt;&lt;periodical&gt;&lt;full-title&gt;European Respiratory Review&lt;/full-title&gt;&lt;/periodical&gt;&lt;volume&gt;33&lt;/volume&gt;&lt;number&gt;173&lt;/number&gt;&lt;dates&gt;&lt;year&gt;2024&lt;/year&gt;&lt;/dates&gt;&lt;isbn&gt;0905</w:instrText>
      </w:r>
      <w:r w:rsidRPr="00D575BC">
        <w:rPr>
          <w:sz w:val="24"/>
          <w:szCs w:val="24"/>
          <w:rtl/>
        </w:rPr>
        <w:instrText>-9180&lt;/</w:instrText>
      </w:r>
      <w:r w:rsidRPr="00D575BC">
        <w:rPr>
          <w:sz w:val="24"/>
          <w:szCs w:val="24"/>
        </w:rPr>
        <w:instrTex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(2)</w:t>
      </w:r>
      <w:r w:rsidRPr="00D575BC">
        <w:rPr>
          <w:sz w:val="24"/>
          <w:szCs w:val="24"/>
          <w:rtl/>
        </w:rPr>
        <w:fldChar w:fldCharType="end"/>
      </w:r>
      <w:r w:rsidRPr="00D575BC">
        <w:rPr>
          <w:sz w:val="24"/>
          <w:szCs w:val="24"/>
        </w:rPr>
        <w:t>.</w:t>
      </w:r>
      <w:r w:rsidRPr="00D575BC">
        <w:rPr>
          <w:rFonts w:hint="cs"/>
          <w:sz w:val="24"/>
          <w:szCs w:val="24"/>
          <w:rtl/>
        </w:rPr>
        <w:t xml:space="preserve"> </w:t>
      </w:r>
      <w:r w:rsidRPr="00D575BC">
        <w:rPr>
          <w:sz w:val="24"/>
          <w:szCs w:val="24"/>
          <w:rtl/>
        </w:rPr>
        <w:t xml:space="preserve">فراتر از نقش آن در دفاع میزبان، </w:t>
      </w:r>
      <w:r w:rsidRPr="00D575BC">
        <w:rPr>
          <w:sz w:val="24"/>
          <w:szCs w:val="24"/>
        </w:rPr>
        <w:t>CXCL1</w:t>
      </w:r>
      <w:r w:rsidRPr="00D575BC">
        <w:rPr>
          <w:rFonts w:hint="cs"/>
          <w:sz w:val="24"/>
          <w:szCs w:val="24"/>
          <w:rtl/>
        </w:rPr>
        <w:t xml:space="preserve"> </w:t>
      </w:r>
      <w:r w:rsidRPr="00D575BC">
        <w:rPr>
          <w:sz w:val="24"/>
          <w:szCs w:val="24"/>
          <w:rtl/>
        </w:rPr>
        <w:t>در رگ‌زایی، ترمیم زخم و بازسازی بافت نیز مشارکت دارد. با این حال، بیان نامنظم یا بیش</w:t>
      </w:r>
      <w:r w:rsidRPr="00D575BC">
        <w:rPr>
          <w:rFonts w:hint="cs"/>
          <w:sz w:val="24"/>
          <w:szCs w:val="24"/>
          <w:rtl/>
        </w:rPr>
        <w:t xml:space="preserve"> </w:t>
      </w:r>
      <w:r w:rsidRPr="00D575BC">
        <w:rPr>
          <w:sz w:val="24"/>
          <w:szCs w:val="24"/>
          <w:rtl/>
        </w:rPr>
        <w:t>‌از</w:t>
      </w:r>
      <w:r w:rsidRPr="00D575BC">
        <w:rPr>
          <w:rFonts w:hint="cs"/>
          <w:sz w:val="24"/>
          <w:szCs w:val="24"/>
          <w:rtl/>
        </w:rPr>
        <w:t xml:space="preserve"> </w:t>
      </w:r>
      <w:r w:rsidRPr="00D575BC">
        <w:rPr>
          <w:sz w:val="24"/>
          <w:szCs w:val="24"/>
          <w:rtl/>
        </w:rPr>
        <w:t>حد آن در بیماری‌های التهابی مزمن، اختلالات قلبی</w:t>
      </w:r>
      <w:r w:rsidRPr="00D575BC">
        <w:rPr>
          <w:rFonts w:cs="Times New Roman" w:hint="cs"/>
          <w:sz w:val="24"/>
          <w:szCs w:val="24"/>
          <w:rtl/>
        </w:rPr>
        <w:t>–</w:t>
      </w:r>
      <w:r w:rsidRPr="00D575BC">
        <w:rPr>
          <w:rFonts w:hint="cs"/>
          <w:sz w:val="24"/>
          <w:szCs w:val="24"/>
          <w:rtl/>
        </w:rPr>
        <w:t>عروقی</w:t>
      </w:r>
      <w:r w:rsidRPr="00D575BC">
        <w:rPr>
          <w:sz w:val="24"/>
          <w:szCs w:val="24"/>
          <w:rtl/>
        </w:rPr>
        <w:t xml:space="preserve"> </w:t>
      </w:r>
      <w:r w:rsidRPr="00D575BC">
        <w:rPr>
          <w:rFonts w:hint="cs"/>
          <w:sz w:val="24"/>
          <w:szCs w:val="24"/>
          <w:rtl/>
        </w:rPr>
        <w:t>و</w:t>
      </w:r>
      <w:r w:rsidRPr="00D575BC">
        <w:rPr>
          <w:sz w:val="24"/>
          <w:szCs w:val="24"/>
          <w:rtl/>
        </w:rPr>
        <w:t xml:space="preserve"> </w:t>
      </w:r>
      <w:r w:rsidRPr="00D575BC">
        <w:rPr>
          <w:rFonts w:hint="cs"/>
          <w:sz w:val="24"/>
          <w:szCs w:val="24"/>
          <w:rtl/>
        </w:rPr>
        <w:t>پیشرفت</w:t>
      </w:r>
      <w:r w:rsidRPr="00D575BC">
        <w:rPr>
          <w:sz w:val="24"/>
          <w:szCs w:val="24"/>
          <w:rtl/>
        </w:rPr>
        <w:t xml:space="preserve"> </w:t>
      </w:r>
      <w:r w:rsidRPr="00D575BC">
        <w:rPr>
          <w:rFonts w:hint="cs"/>
          <w:sz w:val="24"/>
          <w:szCs w:val="24"/>
          <w:rtl/>
        </w:rPr>
        <w:t>سرطان</w:t>
      </w:r>
      <w:r w:rsidRPr="00D575BC">
        <w:rPr>
          <w:sz w:val="24"/>
          <w:szCs w:val="24"/>
          <w:rtl/>
        </w:rPr>
        <w:t xml:space="preserve"> </w:t>
      </w:r>
      <w:r w:rsidRPr="00D575BC">
        <w:rPr>
          <w:rFonts w:hint="cs"/>
          <w:sz w:val="24"/>
          <w:szCs w:val="24"/>
          <w:rtl/>
        </w:rPr>
        <w:t>گزارش</w:t>
      </w:r>
      <w:r w:rsidRPr="00D575BC">
        <w:rPr>
          <w:sz w:val="24"/>
          <w:szCs w:val="24"/>
          <w:rtl/>
        </w:rPr>
        <w:t xml:space="preserve"> </w:t>
      </w:r>
      <w:r w:rsidRPr="00D575BC">
        <w:rPr>
          <w:rFonts w:hint="cs"/>
          <w:sz w:val="24"/>
          <w:szCs w:val="24"/>
          <w:rtl/>
        </w:rPr>
        <w:t>شده</w:t>
      </w:r>
      <w:r w:rsidRPr="00D575BC">
        <w:rPr>
          <w:sz w:val="24"/>
          <w:szCs w:val="24"/>
          <w:rtl/>
        </w:rPr>
        <w:t xml:space="preserve"> </w:t>
      </w:r>
      <w:r w:rsidRPr="00D575BC">
        <w:rPr>
          <w:rFonts w:hint="cs"/>
          <w:sz w:val="24"/>
          <w:szCs w:val="24"/>
          <w:rtl/>
        </w:rPr>
        <w:t xml:space="preserve">است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&lt;EndNote&gt;&lt;Cite&gt;&lt;Author&gt;Korbecki&lt;/Author&gt;&lt;Year&gt;2022&lt;/Year&gt;&lt;RecNum&gt;3&lt;/RecNum&gt;&lt;DisplayText&gt;(3)&lt;/DisplayText&gt;&lt;record&gt;&lt;rec-number&gt;3&lt;/rec-number&gt;&lt;foreign-keys&gt;&lt;key app="EN" db-id="tsp2zzadoxvaapevwpbvp0eq2parp20dee9r" timestamp="1763449515"&gt;3&lt;/key&gt;&lt;/foreign-keys&gt;&lt;ref-type name="Journal Article"&gt;17&lt;/ref-type&gt;&lt;contributors&gt;&lt;authors&gt;&lt;author&gt;Korbecki, Jan&lt;/author&gt;&lt;author&gt;Barczak, Katarzyna&lt;/author&gt;&lt;author&gt;Gutowska, Izabela&lt;/author&gt;&lt;author&gt;Chlubek, Dariusz&lt;/author&gt;&lt;author&gt;Baranowska-Bosiacka, Irena&lt;/author&gt;&lt;/authors&gt;&lt;/contributors&gt;&lt;titles&gt;&lt;title&gt;CXCL1: gene, promoter, regulation of expression, mRNA stability, regulation of activity in the intercellular space&lt;/title&gt;&lt;secondary-title&gt;International journal of molecular sciences&lt;/secondary-title&gt;&lt;/titles</w:instrText>
      </w:r>
      <w:r w:rsidRPr="00D575BC">
        <w:rPr>
          <w:sz w:val="24"/>
          <w:szCs w:val="24"/>
          <w:rtl/>
        </w:rPr>
        <w:instrText>&gt;&lt;</w:instrText>
      </w:r>
      <w:r w:rsidRPr="00D575BC">
        <w:rPr>
          <w:sz w:val="24"/>
          <w:szCs w:val="24"/>
        </w:rPr>
        <w:instrText>periodical&gt;&lt;full-title&gt;International journal of molecular sciences&lt;/full-title&gt;&lt;/periodical&gt;&lt;pages&gt;792&lt;/pages&gt;&lt;volume&gt;23&lt;/volume&gt;&lt;number&gt;2&lt;/number&gt;&lt;dates&gt;&lt;year&gt;2022&lt;/year&gt;&lt;/dates&gt;&lt;isbn&gt;1422-0067&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(3)</w:t>
      </w:r>
      <w:r w:rsidRPr="00D575BC">
        <w:rPr>
          <w:sz w:val="24"/>
          <w:szCs w:val="24"/>
          <w:rtl/>
        </w:rPr>
        <w:fldChar w:fldCharType="end"/>
      </w:r>
      <w:r w:rsidRPr="00D575BC">
        <w:rPr>
          <w:sz w:val="24"/>
          <w:szCs w:val="24"/>
          <w:rtl/>
        </w:rPr>
        <w:t xml:space="preserve">. </w:t>
      </w:r>
      <w:r w:rsidRPr="00D575BC">
        <w:rPr>
          <w:rFonts w:hint="cs"/>
          <w:sz w:val="24"/>
          <w:szCs w:val="24"/>
          <w:rtl/>
        </w:rPr>
        <w:t>افزایش</w:t>
      </w:r>
      <w:r w:rsidRPr="00D575BC">
        <w:rPr>
          <w:sz w:val="24"/>
          <w:szCs w:val="24"/>
          <w:rtl/>
        </w:rPr>
        <w:t xml:space="preserve"> </w:t>
      </w:r>
      <w:r w:rsidRPr="00D575BC">
        <w:rPr>
          <w:rFonts w:hint="cs"/>
          <w:sz w:val="24"/>
          <w:szCs w:val="24"/>
          <w:rtl/>
        </w:rPr>
        <w:t>سطح</w:t>
      </w:r>
      <w:r w:rsidRPr="00D575BC">
        <w:rPr>
          <w:sz w:val="24"/>
          <w:szCs w:val="24"/>
        </w:rPr>
        <w:t xml:space="preserve"> CXCL1 </w:t>
      </w:r>
      <w:r w:rsidRPr="00D575BC">
        <w:rPr>
          <w:sz w:val="24"/>
          <w:szCs w:val="24"/>
          <w:rtl/>
        </w:rPr>
        <w:t>در بیماری‌هایی مانند آرتریت روماتوئید، پسوریازیس و انواع بدخیمی‌ها مشاهده شده و در این شرایط با تقویت رگ‌زایی و نفوذ سلول‌های ایمنی، رشد و متاستاز تومور را تسهیل می‌ک</w:t>
      </w:r>
      <w:r w:rsidRPr="00D575BC">
        <w:rPr>
          <w:rFonts w:hint="cs"/>
          <w:sz w:val="24"/>
          <w:szCs w:val="24"/>
          <w:rtl/>
        </w:rPr>
        <w:t xml:space="preserve">ند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&lt;EndNote&gt;&lt;Cite&gt;&lt;Author&gt;Zdanowska&lt;/Author&gt;&lt;Year&gt;2021&lt;/Year&gt;&lt;RecNum&gt;4&lt;/RecNum&gt;&lt;DisplayText&gt;(4)&lt;/DisplayText&gt;&lt;record&gt;&lt;rec-number&gt;4&lt;/rec-number&gt;&lt;foreign-keys&gt;&lt;key app="EN" db-id="tsp2zzadoxvaapevwpbvp0eq2parp20dee9r" timestamp="1763449588"&gt;4&lt;/key&gt;&lt;/foreign-keys&gt;&lt;ref-type name="Journal Article"&gt;17&lt;/ref-type&gt;&lt;contributors&gt;&lt;authors&gt;&lt;author&gt;Zdanowska, Natalia&lt;/author&gt;&lt;author&gt;Kasprowicz-Furmańczyk, Marta&lt;/author&gt;&lt;author&gt;Placek, Waldemar&lt;/author&gt;&lt;author&gt;Owczarczyk-Saczonek, Agnieszka&lt;/author&gt;&lt;/authors&gt;&lt;/contributors&gt;&lt;titles&gt;&lt;title&gt;The role of chemokines in psoriasis—an overview&lt;/title&gt;&lt;secondary-title&gt;Medicina&lt;/secondary-title&gt;&lt;/titles&gt;&lt;periodical&gt;&lt;full-title&gt;Medicina&lt;/full-title&gt;&lt;/periodical&gt;&lt;pages&gt;754&lt;/pages&gt;&lt;volume&gt;57&lt;/volume&gt;&lt;number&gt;8&lt;/number&gt;&lt;dates&gt;&lt;year&gt;2021&lt;/year&gt;&lt;/dates&gt;&lt;isbn&gt;1648-9144&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(4)</w:t>
      </w:r>
      <w:r w:rsidRPr="00D575BC">
        <w:rPr>
          <w:sz w:val="24"/>
          <w:szCs w:val="24"/>
          <w:rtl/>
        </w:rPr>
        <w:fldChar w:fldCharType="end"/>
      </w:r>
      <w:r w:rsidRPr="00D575BC">
        <w:rPr>
          <w:rFonts w:hint="cs"/>
          <w:sz w:val="24"/>
          <w:szCs w:val="24"/>
          <w:rtl/>
        </w:rPr>
        <w:t>.</w:t>
      </w:r>
      <w:r w:rsidRPr="00D575BC">
        <w:rPr>
          <w:sz w:val="24"/>
          <w:szCs w:val="24"/>
        </w:rPr>
        <w:t xml:space="preserve"> </w:t>
      </w:r>
      <w:r w:rsidRPr="00D575BC">
        <w:rPr>
          <w:sz w:val="24"/>
          <w:szCs w:val="24"/>
          <w:rtl/>
        </w:rPr>
        <w:t xml:space="preserve">در زمینه سالمندی، </w:t>
      </w:r>
      <w:r w:rsidRPr="00D575BC">
        <w:rPr>
          <w:sz w:val="24"/>
          <w:szCs w:val="24"/>
        </w:rPr>
        <w:t>CXCL1</w:t>
      </w:r>
      <w:r w:rsidRPr="00D575BC">
        <w:rPr>
          <w:rFonts w:hint="cs"/>
          <w:sz w:val="24"/>
          <w:szCs w:val="24"/>
          <w:rtl/>
        </w:rPr>
        <w:t xml:space="preserve"> </w:t>
      </w:r>
      <w:r w:rsidRPr="00D575BC">
        <w:rPr>
          <w:sz w:val="24"/>
          <w:szCs w:val="24"/>
          <w:rtl/>
        </w:rPr>
        <w:t xml:space="preserve">با پدیده‌ی </w:t>
      </w:r>
      <w:r w:rsidRPr="00D575BC">
        <w:rPr>
          <w:rFonts w:hint="cs"/>
          <w:sz w:val="24"/>
          <w:szCs w:val="24"/>
          <w:rtl/>
        </w:rPr>
        <w:t>«</w:t>
      </w:r>
      <w:r w:rsidRPr="00D575BC">
        <w:rPr>
          <w:sz w:val="24"/>
          <w:szCs w:val="24"/>
          <w:rtl/>
        </w:rPr>
        <w:t>پیری التهابی</w:t>
      </w:r>
      <w:r w:rsidRPr="00D575BC">
        <w:rPr>
          <w:rFonts w:hint="cs"/>
          <w:sz w:val="24"/>
          <w:szCs w:val="24"/>
          <w:rtl/>
        </w:rPr>
        <w:t>»(</w:t>
      </w:r>
      <w:proofErr w:type="spellStart"/>
      <w:r w:rsidRPr="00D575BC">
        <w:rPr>
          <w:sz w:val="24"/>
          <w:szCs w:val="24"/>
        </w:rPr>
        <w:t>inflamm</w:t>
      </w:r>
      <w:proofErr w:type="spellEnd"/>
      <w:r w:rsidRPr="00D575BC">
        <w:rPr>
          <w:sz w:val="24"/>
          <w:szCs w:val="24"/>
        </w:rPr>
        <w:t>-aging</w:t>
      </w:r>
      <w:r w:rsidRPr="00D575BC">
        <w:rPr>
          <w:rFonts w:hint="cs"/>
          <w:sz w:val="24"/>
          <w:szCs w:val="24"/>
          <w:rtl/>
        </w:rPr>
        <w:t>)</w:t>
      </w:r>
      <w:r w:rsidRPr="00D575BC">
        <w:rPr>
          <w:sz w:val="24"/>
          <w:szCs w:val="24"/>
        </w:rPr>
        <w:t xml:space="preserve"> </w:t>
      </w:r>
      <w:r w:rsidRPr="00D575BC">
        <w:rPr>
          <w:sz w:val="24"/>
          <w:szCs w:val="24"/>
          <w:rtl/>
        </w:rPr>
        <w:t>مرتبط است؛ حالتی از التهاب مزمن درجه</w:t>
      </w:r>
      <w:r w:rsidRPr="00D575BC">
        <w:rPr>
          <w:rFonts w:hint="cs"/>
          <w:sz w:val="24"/>
          <w:szCs w:val="24"/>
          <w:rtl/>
        </w:rPr>
        <w:t xml:space="preserve"> </w:t>
      </w:r>
      <w:r w:rsidRPr="00D575BC">
        <w:rPr>
          <w:sz w:val="24"/>
          <w:szCs w:val="24"/>
          <w:rtl/>
        </w:rPr>
        <w:t>‌پایین که در آسیب‌های بافتی مرتبط با سن و افزایش حساسیت به بیماری‌ها نقش دارد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&lt;EndNote&gt;&lt;Cite&gt;&lt;Author&gt;Li&lt;/Author&gt;&lt;Year&gt;2023&lt;/Year&gt;&lt;RecNum&gt;5&lt;/RecNum&gt;&lt;DisplayText&gt;(5)&lt;/DisplayText&gt;&lt;record&gt;&lt;rec-number&gt;5&lt;/rec-number&gt;&lt;foreign-keys&gt;&lt;key app="EN" db-id="tsp2zzadoxvaapevwpbvp0eq2parp20dee9r" timestamp="1763449830"&gt;5&lt;/key&gt;&lt;/foreign-keys&gt;&lt;ref-type name="Journal Article"&gt;17&lt;/ref-type&gt;&lt;contributors&gt;&lt;authors&gt;&lt;author&gt;Li, Xia&lt;/author&gt;&lt;author&gt;Li, Chentao&lt;/author&gt;&lt;author&gt;Zhang, Wanying&lt;/author&gt;&lt;author&gt;Wang, Yanan&lt;/author&gt;&lt;author&gt;Qian, Pengxu&lt;/author&gt;&lt;author&gt;Huang, He&lt;/author&gt;&lt;/authors</w:instrText>
      </w:r>
      <w:r w:rsidRPr="00D575BC">
        <w:rPr>
          <w:sz w:val="24"/>
          <w:szCs w:val="24"/>
          <w:rtl/>
        </w:rPr>
        <w:instrText>&gt;&lt;/</w:instrText>
      </w:r>
      <w:r w:rsidRPr="00D575BC">
        <w:rPr>
          <w:sz w:val="24"/>
          <w:szCs w:val="24"/>
        </w:rPr>
        <w:instrText>contributors&gt;&lt;titles&gt;&lt;title&gt;Inflammation and aging: signaling pathways and intervention therapies&lt;/title&gt;&lt;secondary-title&gt;Signal transduction and targeted therapy&lt;/secondary-title&gt;&lt;/titles&gt;&lt;periodical&gt;&lt;full-title&gt;Signal transduction and targeted therapy&lt;/full-title&gt;&lt;/periodical&gt;&lt;pages&gt;239&lt;/pages&gt;&lt;volume&gt;8&lt;/volume&gt;&lt;number&gt;1&lt;/number&gt;&lt;dates&gt;&lt;year&gt;2023&lt;/year&gt;&lt;/dates&gt;&lt;isbn&gt;2059-3635&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(5)</w:t>
      </w:r>
      <w:r w:rsidRPr="00D575BC">
        <w:rPr>
          <w:sz w:val="24"/>
          <w:szCs w:val="24"/>
          <w:rtl/>
        </w:rPr>
        <w:fldChar w:fldCharType="end"/>
      </w:r>
      <w:r w:rsidRPr="00D575BC">
        <w:rPr>
          <w:sz w:val="24"/>
          <w:szCs w:val="24"/>
          <w:rtl/>
        </w:rPr>
        <w:t xml:space="preserve">. به دلیل این کارکردهای متنوع، </w:t>
      </w:r>
      <w:r w:rsidRPr="00D575BC">
        <w:rPr>
          <w:sz w:val="24"/>
          <w:szCs w:val="24"/>
        </w:rPr>
        <w:t>CXCL1</w:t>
      </w:r>
      <w:r w:rsidRPr="00D575BC">
        <w:rPr>
          <w:rFonts w:hint="cs"/>
          <w:sz w:val="24"/>
          <w:szCs w:val="24"/>
          <w:rtl/>
        </w:rPr>
        <w:t xml:space="preserve"> </w:t>
      </w:r>
      <w:r w:rsidRPr="00D575BC">
        <w:rPr>
          <w:sz w:val="24"/>
          <w:szCs w:val="24"/>
          <w:rtl/>
        </w:rPr>
        <w:t>هم به</w:t>
      </w:r>
      <w:r w:rsidRPr="00D575BC">
        <w:rPr>
          <w:rFonts w:hint="cs"/>
          <w:sz w:val="24"/>
          <w:szCs w:val="24"/>
          <w:rtl/>
        </w:rPr>
        <w:t xml:space="preserve"> </w:t>
      </w:r>
      <w:r w:rsidRPr="00D575BC">
        <w:rPr>
          <w:sz w:val="24"/>
          <w:szCs w:val="24"/>
          <w:rtl/>
        </w:rPr>
        <w:t>‌عنوان یک نشانگر زیستی فعالیت التهابی و هم یک هدف درمانی بالقوه مطرح است. در همین راستا، تحقیقات در حال بررسی راهبردهایی برای مهار</w:t>
      </w:r>
      <w:r w:rsidRPr="00D575BC">
        <w:rPr>
          <w:sz w:val="24"/>
          <w:szCs w:val="24"/>
        </w:rPr>
        <w:t xml:space="preserve"> CXCL1 </w:t>
      </w:r>
      <w:r w:rsidRPr="00D575BC">
        <w:rPr>
          <w:sz w:val="24"/>
          <w:szCs w:val="24"/>
          <w:rtl/>
        </w:rPr>
        <w:t xml:space="preserve">یا گیرنده‌ آن </w:t>
      </w:r>
      <w:r w:rsidRPr="00D575BC">
        <w:rPr>
          <w:sz w:val="24"/>
          <w:szCs w:val="24"/>
        </w:rPr>
        <w:t>CXCR2</w:t>
      </w:r>
      <w:r w:rsidRPr="00D575BC">
        <w:rPr>
          <w:rFonts w:hint="cs"/>
          <w:sz w:val="24"/>
          <w:szCs w:val="24"/>
          <w:rtl/>
        </w:rPr>
        <w:t xml:space="preserve"> </w:t>
      </w:r>
      <w:r w:rsidRPr="00D575BC">
        <w:rPr>
          <w:sz w:val="24"/>
          <w:szCs w:val="24"/>
          <w:rtl/>
        </w:rPr>
        <w:t>هستند تا از طریق کاهش التهاب بیش‌ازحد، پیشرفت بیماری‌های التهابی و توموری کنترل شود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&lt;EndNote&gt;&lt;Cite&gt;&lt;Author&gt;Korbecki&lt;/Author&gt;&lt;Year&gt;2024&lt;/Year&gt;&lt;RecNum&gt;6&lt;/RecNum&gt;&lt;DisplayText&gt;(6)&lt;/DisplayText&gt;&lt;record&gt;&lt;rec-number&gt;6&lt;/rec-number&gt;&lt;foreign-keys&gt;&lt;key app="EN" db-id="tsp2zzadoxvaapevwpbvp0eq2parp20dee9r" timestamp="1763449939"&gt;6&lt;/key&gt;&lt;/foreign-keys&gt;&lt;ref-type name="Journal Article"&gt;17&lt;/ref-type&gt;&lt;contributors&gt;&lt;authors&gt;&lt;author&gt;Korbecki, Jan&lt;/author&gt;&lt;author&gt;Bosiacki, Mateusz&lt;/author&gt;&lt;author&gt;Szatkowska, Iwona&lt;/author&gt;&lt;author&gt;Kupnicka, Patrycja&lt;/author&gt;&lt;author&gt;Chlubek, Dariusz&lt;/author&gt;&lt;author&gt;Baranowska-Bosiacka, Irena&lt;/author&gt;&lt;/authors&gt;&lt;/contributors&gt;&lt;titles&gt;&lt;title&gt;The clinical significance and involvement in molecular cancer processes of chemokine CXCL1 in selected tumors&lt;/title&gt;&lt;secondary-title&gt;International Journal of Molecular Sciences&lt;/secondary-title&gt;&lt;/titles&gt;&lt;periodical&gt;&lt;full-title&gt;International journal of molecular sciences&lt;/full-title&gt;&lt;/periodical&gt;&lt;pages&gt;4365&lt;/pages&gt;&lt;volume&gt;25&lt;/volume&gt;&lt;number&gt;8&lt;/number&gt;&lt;dates&gt;&lt;year&gt;2024&lt;/year&gt;&lt;/dates&gt;&lt;isbn&gt;1422-0067&lt;/isbn&gt;&lt;urls&gt;&lt;/urls&gt;&lt;/record</w:instrText>
      </w:r>
      <w:r w:rsidRPr="00D575BC">
        <w:rPr>
          <w:sz w:val="24"/>
          <w:szCs w:val="24"/>
          <w:rtl/>
        </w:rPr>
        <w:instrText>&gt;&lt;/</w:instrText>
      </w:r>
      <w:r w:rsidRPr="00D575BC">
        <w:rPr>
          <w:sz w:val="24"/>
          <w:szCs w:val="24"/>
        </w:rPr>
        <w:instrText>Cite&gt;&lt;/EndNote</w:instrText>
      </w:r>
      <w:r w:rsidRPr="00D575BC">
        <w:rPr>
          <w:sz w:val="24"/>
          <w:szCs w:val="24"/>
          <w:rtl/>
        </w:rPr>
        <w:instrText>&gt;</w:instrText>
      </w:r>
      <w:r w:rsidRPr="00D575BC">
        <w:rPr>
          <w:sz w:val="24"/>
          <w:szCs w:val="24"/>
          <w:rtl/>
        </w:rPr>
        <w:fldChar w:fldCharType="separate"/>
      </w:r>
      <w:r w:rsidRPr="00D575BC">
        <w:rPr>
          <w:noProof/>
          <w:sz w:val="24"/>
          <w:szCs w:val="24"/>
          <w:rtl/>
        </w:rPr>
        <w:t>(6)</w:t>
      </w:r>
      <w:r w:rsidRPr="00D575BC">
        <w:rPr>
          <w:sz w:val="24"/>
          <w:szCs w:val="24"/>
          <w:rtl/>
        </w:rPr>
        <w:fldChar w:fldCharType="end"/>
      </w:r>
      <w:r w:rsidRPr="00D575BC">
        <w:rPr>
          <w:sz w:val="24"/>
          <w:szCs w:val="24"/>
        </w:rPr>
        <w:t>.</w:t>
      </w:r>
    </w:p>
    <w:p w14:paraId="7BD4A306" w14:textId="77777777" w:rsidR="00CF69B3" w:rsidRPr="00D575BC" w:rsidRDefault="00CF69B3" w:rsidP="00CF69B3">
      <w:pPr>
        <w:pStyle w:val="a0"/>
        <w:rPr>
          <w:sz w:val="24"/>
          <w:szCs w:val="24"/>
        </w:rPr>
      </w:pPr>
      <w:r w:rsidRPr="00D575BC">
        <w:rPr>
          <w:sz w:val="24"/>
          <w:szCs w:val="24"/>
          <w:rtl/>
        </w:rPr>
        <w:t>اپی‌گالوکاتچین گالات</w:t>
      </w:r>
      <w:r w:rsidRPr="00D575BC">
        <w:rPr>
          <w:rFonts w:hint="cs"/>
          <w:sz w:val="24"/>
          <w:szCs w:val="24"/>
          <w:rtl/>
        </w:rPr>
        <w:t xml:space="preserve"> (</w:t>
      </w:r>
      <w:r w:rsidRPr="00D575BC">
        <w:rPr>
          <w:sz w:val="24"/>
          <w:szCs w:val="24"/>
        </w:rPr>
        <w:t>EGCG</w:t>
      </w:r>
      <w:r w:rsidRPr="00D575BC">
        <w:rPr>
          <w:rFonts w:hint="cs"/>
          <w:sz w:val="24"/>
          <w:szCs w:val="24"/>
          <w:rtl/>
        </w:rPr>
        <w:t xml:space="preserve">) </w:t>
      </w:r>
      <w:r w:rsidRPr="00D575BC">
        <w:rPr>
          <w:sz w:val="24"/>
          <w:szCs w:val="24"/>
          <w:rtl/>
        </w:rPr>
        <w:t>فراوان‌ترین و از نظر زیستی فعال‌ترین کاتچین موجود در چای سبز است که به دلیل طیف گسترده‌ای از خواص دارویی مورد توجه قرار گرفته است</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&lt;EndNote&gt;&lt;Cite&gt;&lt;Author&gt;Zwolak&lt;/Author&gt;&lt;Year&gt;2021&lt;/Year&gt;&lt;RecNum&gt;7&lt;/RecNum&gt;&lt;DisplayText&gt;(7)&lt;/DisplayText&gt;&lt;record&gt;&lt;rec-number&gt;7&lt;/rec-number&gt;&lt;foreign-keys&gt;&lt;key app="EN" db-id="tsp2zzadoxvaapevwpbvp0eq2parp20dee9r" timestamp="1763450452"&gt;7&lt;/key</w:instrText>
      </w:r>
      <w:r w:rsidRPr="00D575BC">
        <w:rPr>
          <w:sz w:val="24"/>
          <w:szCs w:val="24"/>
          <w:rtl/>
        </w:rPr>
        <w:instrText>&gt;&lt;/</w:instrText>
      </w:r>
      <w:r w:rsidRPr="00D575BC">
        <w:rPr>
          <w:sz w:val="24"/>
          <w:szCs w:val="24"/>
        </w:rPr>
        <w:instrText>foreign-keys&gt;&lt;ref-type name="Journal Article"&gt;17&lt;/ref-type&gt;&lt;contributors&gt;&lt;authors&gt;&lt;author&gt;Zwolak, Iwona&lt;/author&gt;&lt;/authors&gt;&lt;/contributors&gt;&lt;titles&gt;&lt;title&gt;Epigallocatechin gallate for management of heavy metal-induced oxidative stress: mechanisms of action</w:instrText>
      </w:r>
      <w:r w:rsidRPr="00D575BC">
        <w:rPr>
          <w:sz w:val="24"/>
          <w:szCs w:val="24"/>
          <w:rtl/>
        </w:rPr>
        <w:instrText xml:space="preserve">, </w:instrText>
      </w:r>
      <w:r w:rsidRPr="00D575BC">
        <w:rPr>
          <w:sz w:val="24"/>
          <w:szCs w:val="24"/>
        </w:rPr>
        <w:instrText>efficacy, and concerns&lt;/title&gt;&lt;secondary-title&gt;International Journal of Molecular Sciences&lt;/secondary-title&gt;&lt;/titles&gt;&lt;periodical&gt;&lt;full-title&gt;International journal of molecular sciences&lt;/full-title&gt;&lt;/periodical&gt;&lt;pages&gt;4027&lt;/pages&gt;&lt;volume&gt;22&lt;/volume&gt;&lt;number&gt;8&lt;/number&gt;&lt;dates&gt;&lt;year&gt;2021&lt;/year&gt;&lt;/dates&gt;&lt;isbn&gt;1422-0067&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(7)</w:t>
      </w:r>
      <w:r w:rsidRPr="00D575BC">
        <w:rPr>
          <w:sz w:val="24"/>
          <w:szCs w:val="24"/>
          <w:rtl/>
        </w:rPr>
        <w:fldChar w:fldCharType="end"/>
      </w:r>
      <w:r w:rsidRPr="00D575BC">
        <w:rPr>
          <w:rFonts w:hint="cs"/>
          <w:sz w:val="24"/>
          <w:szCs w:val="24"/>
          <w:rtl/>
        </w:rPr>
        <w:t>.</w:t>
      </w:r>
      <w:r w:rsidRPr="00D575BC">
        <w:rPr>
          <w:sz w:val="24"/>
          <w:szCs w:val="24"/>
        </w:rPr>
        <w:t xml:space="preserve"> </w:t>
      </w:r>
      <w:r w:rsidRPr="00D575BC">
        <w:rPr>
          <w:sz w:val="24"/>
          <w:szCs w:val="24"/>
          <w:rtl/>
        </w:rPr>
        <w:t>از نظر ساختاری، این ترکیب پلی‌فنولی با دارا بودن گروه‌های هیدروکسیل متعدد و بخش گالات، ظرفیت آنتی‌اکسیدانی بالایی ایجاد می‌کند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&lt;EndNote&gt;&lt;Cite&gt;&lt;Author&gt;Capasso&lt;/Author&gt;&lt;Year&gt;2025&lt;/Year&gt;&lt;RecNum&gt;8&lt;/RecNum&gt;&lt;DisplayText&gt;(8)&lt;/DisplayText&gt;&lt;record&gt;&lt;rec-number&gt;8&lt;/rec-number&gt;&lt;foreign-keys&gt;&lt;key app="EN" db-id="tsp2zzadoxvaapevwpbvp0eq2parp20dee9r" timestamp="1763450565"&gt;8&lt;/key</w:instrText>
      </w:r>
      <w:r w:rsidRPr="00D575BC">
        <w:rPr>
          <w:sz w:val="24"/>
          <w:szCs w:val="24"/>
          <w:rtl/>
        </w:rPr>
        <w:instrText>&gt;&lt;/</w:instrText>
      </w:r>
      <w:r w:rsidRPr="00D575BC">
        <w:rPr>
          <w:sz w:val="24"/>
          <w:szCs w:val="24"/>
        </w:rPr>
        <w:instrText>foreign-keys&gt;&lt;ref-type name="Journal Article"&gt;17&lt;/ref-type&gt;&lt;contributors&gt;&lt;authors&gt;&lt;author&gt;Capasso, Lucia&lt;/author&gt;&lt;author&gt;De Masi, Luigi&lt;/author&gt;&lt;author&gt;Sirignano, Carmina&lt;/author&gt;&lt;author&gt;Maresca, Viviana&lt;/author&gt;&lt;author&gt;Basile, Adriana&lt;/author&gt;&lt;author</w:instrText>
      </w:r>
      <w:r w:rsidRPr="00D575BC">
        <w:rPr>
          <w:sz w:val="24"/>
          <w:szCs w:val="24"/>
          <w:rtl/>
        </w:rPr>
        <w:instrText>&gt;</w:instrText>
      </w:r>
      <w:r w:rsidRPr="00D575BC">
        <w:rPr>
          <w:sz w:val="24"/>
          <w:szCs w:val="24"/>
        </w:rPr>
        <w:instrText>Nebbioso, Angela&lt;/author&gt;&lt;author&gt;Rigano, Daniela&lt;/author&gt;&lt;author&gt;Bontempo, Paola&lt;/author&gt;&lt;/authors&gt;&lt;/contributors&gt;&lt;titles&gt;&lt;title&gt;Epigallocatechin gallate (EGCG): Pharmacological properties, biological activities and therapeutic potential&lt;/title&gt;&lt;secondary</w:instrText>
      </w:r>
      <w:r w:rsidRPr="00D575BC">
        <w:rPr>
          <w:sz w:val="24"/>
          <w:szCs w:val="24"/>
          <w:rtl/>
        </w:rPr>
        <w:instrText>-</w:instrText>
      </w:r>
      <w:r w:rsidRPr="00D575BC">
        <w:rPr>
          <w:sz w:val="24"/>
          <w:szCs w:val="24"/>
        </w:rPr>
        <w:instrText>title&gt;Molecules&lt;/secondary-title&gt;&lt;/titles&gt;&lt;periodical&gt;&lt;full-title&gt;Molecules&lt;/full-title&gt;&lt;/periodical&gt;&lt;pages&gt;654&lt;/pages&gt;&lt;volume&gt;30&lt;/volume&gt;&lt;number&gt;3&lt;/number&gt;&lt;dates&gt;&lt;year&gt;2025&lt;/year&gt;&lt;/dates&gt;&lt;isbn&gt;1420-3049&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(8)</w:t>
      </w:r>
      <w:r w:rsidRPr="00D575BC">
        <w:rPr>
          <w:sz w:val="24"/>
          <w:szCs w:val="24"/>
          <w:rtl/>
        </w:rPr>
        <w:fldChar w:fldCharType="end"/>
      </w:r>
      <w:r w:rsidRPr="00D575BC">
        <w:rPr>
          <w:rFonts w:hint="cs"/>
          <w:sz w:val="24"/>
          <w:szCs w:val="24"/>
          <w:rtl/>
        </w:rPr>
        <w:t>.</w:t>
      </w:r>
      <w:r w:rsidRPr="00D575BC">
        <w:rPr>
          <w:sz w:val="24"/>
          <w:szCs w:val="24"/>
        </w:rPr>
        <w:t xml:space="preserve"> EGCG </w:t>
      </w:r>
      <w:r w:rsidRPr="00D575BC">
        <w:rPr>
          <w:sz w:val="24"/>
          <w:szCs w:val="24"/>
          <w:rtl/>
        </w:rPr>
        <w:t xml:space="preserve">با مهار رادیکال‌های آزاد و تعدیل </w:t>
      </w:r>
      <w:r w:rsidRPr="00D575BC">
        <w:rPr>
          <w:sz w:val="24"/>
          <w:szCs w:val="24"/>
          <w:rtl/>
        </w:rPr>
        <w:lastRenderedPageBreak/>
        <w:t xml:space="preserve">مسیرهای سیگنالینگ سلولی نظیر </w:t>
      </w:r>
      <w:r w:rsidRPr="00D575BC">
        <w:rPr>
          <w:sz w:val="24"/>
          <w:szCs w:val="24"/>
        </w:rPr>
        <w:t>NF-</w:t>
      </w:r>
      <w:proofErr w:type="spellStart"/>
      <w:r w:rsidRPr="00D575BC">
        <w:rPr>
          <w:sz w:val="24"/>
          <w:szCs w:val="24"/>
        </w:rPr>
        <w:t>κB</w:t>
      </w:r>
      <w:proofErr w:type="spellEnd"/>
      <w:r w:rsidRPr="00D575BC">
        <w:rPr>
          <w:sz w:val="24"/>
          <w:szCs w:val="24"/>
          <w:rtl/>
        </w:rPr>
        <w:t xml:space="preserve">، </w:t>
      </w:r>
      <w:r w:rsidRPr="00D575BC">
        <w:rPr>
          <w:sz w:val="24"/>
          <w:szCs w:val="24"/>
        </w:rPr>
        <w:t>MAPK</w:t>
      </w:r>
      <w:r w:rsidRPr="00D575BC">
        <w:rPr>
          <w:rFonts w:hint="cs"/>
          <w:sz w:val="24"/>
          <w:szCs w:val="24"/>
          <w:rtl/>
        </w:rPr>
        <w:t xml:space="preserve"> </w:t>
      </w:r>
      <w:r w:rsidRPr="00D575BC">
        <w:rPr>
          <w:sz w:val="24"/>
          <w:szCs w:val="24"/>
          <w:rtl/>
        </w:rPr>
        <w:t xml:space="preserve">و </w:t>
      </w:r>
      <w:r w:rsidRPr="00D575BC">
        <w:rPr>
          <w:sz w:val="24"/>
          <w:szCs w:val="24"/>
        </w:rPr>
        <w:t>STAT</w:t>
      </w:r>
      <w:r w:rsidRPr="00D575BC">
        <w:rPr>
          <w:sz w:val="24"/>
          <w:szCs w:val="24"/>
          <w:rtl/>
        </w:rPr>
        <w:t>، اثرات آنتی‌اکسیدانی و ضدالتهابی قابل</w:t>
      </w:r>
      <w:r w:rsidRPr="00D575BC">
        <w:rPr>
          <w:rFonts w:hint="cs"/>
          <w:sz w:val="24"/>
          <w:szCs w:val="24"/>
          <w:rtl/>
        </w:rPr>
        <w:t xml:space="preserve"> </w:t>
      </w:r>
      <w:r w:rsidRPr="00D575BC">
        <w:rPr>
          <w:sz w:val="24"/>
          <w:szCs w:val="24"/>
          <w:rtl/>
        </w:rPr>
        <w:t>‌توجهی اعمال کرده و تولید سیتوکین‌های پیش‌التهابی را سرکوب می‌نماید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&lt;EndNote&gt;&lt;Cite&gt;&lt;Author&gt;Zhang&lt;/Author&gt;&lt;Year&gt;2025&lt;/Year&gt;&lt;RecNum&gt;9&lt;/RecNum&gt;&lt;DisplayText&gt;(9)&lt;/DisplayText&gt;&lt;record&gt;&lt;rec-number&gt;9&lt;/rec-number&gt;&lt;foreign-keys&gt;&lt;key app="EN" db-id="tsp2zzadoxvaapevwpbvp0eq2parp20dee9r" timestamp="1763450613"&gt;9&lt;/key</w:instrText>
      </w:r>
      <w:r w:rsidRPr="00D575BC">
        <w:rPr>
          <w:sz w:val="24"/>
          <w:szCs w:val="24"/>
          <w:rtl/>
        </w:rPr>
        <w:instrText>&gt;&lt;/</w:instrText>
      </w:r>
      <w:r w:rsidRPr="00D575BC">
        <w:rPr>
          <w:sz w:val="24"/>
          <w:szCs w:val="24"/>
        </w:rPr>
        <w:instrText>foreign-keys&gt;&lt;ref-type name="Journal Article"&gt;17&lt;/ref-type&gt;&lt;contributors&gt;&lt;authors&gt;&lt;author&gt;Zhang, Yang&lt;/author&gt;&lt;author&gt;Xu, Qiong&lt;/author&gt;&lt;author&gt;Hu, Jiepin&lt;/author&gt;&lt;author&gt;Zhang, Feng&lt;/author&gt;&lt;author&gt;Yu, Youjie&lt;/author&gt;&lt;author&gt;Ma, Longying&lt;/author&gt;&lt;/authors&gt;&lt;/contributors&gt;&lt;titles&gt;&lt;title&gt;Green tea and epigallocatechin gallate (EGCG) for cancer prevention: a systematic review and meta-analysis&lt;/title&gt;&lt;secondary-title&gt;The American Journal of Chinese Medicine&lt;/secondary-title&gt;&lt;/titles&gt;&lt;periodical&gt;&lt;full-title</w:instrText>
      </w:r>
      <w:r w:rsidRPr="00D575BC">
        <w:rPr>
          <w:sz w:val="24"/>
          <w:szCs w:val="24"/>
          <w:rtl/>
        </w:rPr>
        <w:instrText>&gt;</w:instrText>
      </w:r>
      <w:r w:rsidRPr="00D575BC">
        <w:rPr>
          <w:sz w:val="24"/>
          <w:szCs w:val="24"/>
        </w:rPr>
        <w:instrText>The American Journal of Chinese Medicine&lt;/full-title&gt;&lt;/periodical&gt;&lt;pages&gt;1755-1784&lt;/pages&gt;&lt;volume&gt;53&lt;/volume&gt;&lt;number&gt;06&lt;/number&gt;&lt;dates&gt;&lt;year&gt;2025&lt;/year&gt;&lt;/dates&gt;&lt;isbn&gt;0192-415X&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(9)</w:t>
      </w:r>
      <w:r w:rsidRPr="00D575BC">
        <w:rPr>
          <w:sz w:val="24"/>
          <w:szCs w:val="24"/>
          <w:rtl/>
        </w:rPr>
        <w:fldChar w:fldCharType="end"/>
      </w:r>
      <w:r w:rsidRPr="00D575BC">
        <w:rPr>
          <w:sz w:val="24"/>
          <w:szCs w:val="24"/>
        </w:rPr>
        <w:t>.</w:t>
      </w:r>
      <w:r w:rsidRPr="00D575BC">
        <w:rPr>
          <w:rFonts w:hint="cs"/>
          <w:sz w:val="24"/>
          <w:szCs w:val="24"/>
          <w:rtl/>
        </w:rPr>
        <w:t xml:space="preserve"> </w:t>
      </w:r>
      <w:r w:rsidRPr="00D575BC">
        <w:rPr>
          <w:sz w:val="24"/>
          <w:szCs w:val="24"/>
          <w:rtl/>
        </w:rPr>
        <w:t xml:space="preserve">علاوه بر این، مطالعات نشان داده‌اند که </w:t>
      </w:r>
      <w:r w:rsidRPr="00D575BC">
        <w:rPr>
          <w:sz w:val="24"/>
          <w:szCs w:val="24"/>
        </w:rPr>
        <w:t>EGCG</w:t>
      </w:r>
      <w:r w:rsidRPr="00D575BC">
        <w:rPr>
          <w:rFonts w:hint="cs"/>
          <w:sz w:val="24"/>
          <w:szCs w:val="24"/>
          <w:rtl/>
        </w:rPr>
        <w:t xml:space="preserve"> </w:t>
      </w:r>
      <w:r w:rsidRPr="00D575BC">
        <w:rPr>
          <w:sz w:val="24"/>
          <w:szCs w:val="24"/>
          <w:rtl/>
        </w:rPr>
        <w:t>قادر است تکثیر سلول‌های توموری را مهار کند، فرآیند آپوپتوز را القا نماید و در رگ‌زایی اختلال ایجاد کند؛ ویژگی‌هایی که آن را به یک عامل ضدسرطان امیدوارکننده تبدیل کرده است</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&lt;EndNote&gt;&lt;Cite&gt;&lt;Author&gt;Nag&lt;/Author&gt;&lt;Year&gt;2024&lt;/Year&gt;&lt;RecNum&gt;10&lt;/RecNum&gt;&lt;DisplayText&gt;(10, 11)&lt;/DisplayText&gt;&lt;record&gt;&lt;rec-number&gt;10&lt;/rec-number&gt;&lt;foreign-keys&gt;&lt;key app="EN" db-id="tsp2zzadoxvaapevwpbvp0eq2parp20dee9r" timestamp="1763450665"&gt;10</w:instrText>
      </w:r>
      <w:r w:rsidRPr="00D575BC">
        <w:rPr>
          <w:sz w:val="24"/>
          <w:szCs w:val="24"/>
          <w:rtl/>
        </w:rPr>
        <w:instrText>&lt;/</w:instrText>
      </w:r>
      <w:r w:rsidRPr="00D575BC">
        <w:rPr>
          <w:sz w:val="24"/>
          <w:szCs w:val="24"/>
        </w:rPr>
        <w:instrText>key&gt;&lt;/foreign-keys&gt;&lt;ref-type name="Journal Article"&gt;17&lt;/ref-type&gt;&lt;contributors&gt;&lt;authors&gt;&lt;author&gt;Nag, Sagnik&lt;/author&gt;&lt;author&gt;Bhunia, Adrija&lt;/author&gt;&lt;author&gt;Mohanto, Sourav&lt;/author&gt;&lt;author&gt;Ahmed, Mohammed Gulzar&lt;/author&gt;&lt;author&gt;Subramaniyan, Vetriselvan&lt;/author&gt;&lt;/authors&gt;&lt;/contributors&gt;&lt;titles&gt;&lt;title&gt;Rising potentials of epigallocatechin gallate (EGCG) loaded lipid-based delivery platforms for breast cancer&lt;/title&gt;&lt;secondary-title&gt;Discover Applied Sciences&lt;/secondary-title&gt;&lt;/titles&gt;&lt;periodical&gt;&lt;full-title</w:instrText>
      </w:r>
      <w:r w:rsidRPr="00D575BC">
        <w:rPr>
          <w:sz w:val="24"/>
          <w:szCs w:val="24"/>
          <w:rtl/>
        </w:rPr>
        <w:instrText>&gt;</w:instrText>
      </w:r>
      <w:r w:rsidRPr="00D575BC">
        <w:rPr>
          <w:sz w:val="24"/>
          <w:szCs w:val="24"/>
        </w:rPr>
        <w:instrText>Discover Applied Sciences&lt;/full-title&gt;&lt;/periodical&gt;&lt;pages&gt;426&lt;/pages&gt;&lt;volume&gt;6&lt;/volume&gt;&lt;number&gt;8&lt;/number&gt;&lt;dates&gt;&lt;year&gt;2024&lt;/year&gt;&lt;/dates&gt;&lt;isbn&gt;3004-9261&lt;/isbn&gt;&lt;urls&gt;&lt;/urls&gt;&lt;/record&gt;&lt;/Cite&gt;&lt;Cite&gt;&lt;Author&gt;Talib&lt;/Author&gt;&lt;Year&gt;2024&lt;/Year&gt;&lt;RecNum&gt;12&lt;/RecNum&gt;&lt;record&gt;&lt;rec-number&gt;12&lt;/rec-number&gt;&lt;foreign-keys&gt;&lt;key app="EN" db-id="tsp2zzadoxvaapevwpbvp0eq2parp20dee9r" timestamp="1763450733"&gt;12&lt;/key&gt;&lt;/foreign-keys&gt;&lt;ref-type name="Journal Article"&gt;17&lt;/ref-type&gt;&lt;contributors&gt;&lt;authors&gt;&lt;author&gt;Talib, Wamidh H&lt;/author&gt;&lt;author&gt;Awajan, Dima&lt;/author&gt;&lt;author&gt;Alqudah, Abdelrahim&lt;/author&gt;&lt;author&gt;Alsawwaf, Razan&lt;/author&gt;&lt;author&gt;Althunibat, Raha&lt;/author&gt;&lt;author&gt;Abu AlRoos, Mahmoud&lt;/author&gt;&lt;author&gt;Al Safadi, Ala’&lt;/author&gt;&lt;author&gt;Abu Asab, Sharif&lt;/author&gt;&lt;author&gt;Hadi, Rawan W&lt;/author&gt;&lt;author&gt;Al Kury, Lina T&lt;/author&gt;&lt;/authors&gt;&lt;/contributors&gt;&lt;titles&gt;&lt;title&gt;Targeting cancer hallmarks with epigallocatechin gallate (EGCG): mechanistic basis and therapeutic targets&lt;/title&gt;&lt;secondary-title&gt;Molecules&lt;/secondary-title&gt;&lt;/titles&gt;&lt;periodical</w:instrText>
      </w:r>
      <w:r w:rsidRPr="00D575BC">
        <w:rPr>
          <w:sz w:val="24"/>
          <w:szCs w:val="24"/>
          <w:rtl/>
        </w:rPr>
        <w:instrText>&gt;&lt;</w:instrText>
      </w:r>
      <w:r w:rsidRPr="00D575BC">
        <w:rPr>
          <w:sz w:val="24"/>
          <w:szCs w:val="24"/>
        </w:rPr>
        <w:instrText>full-title&gt;Molecules&lt;/full-title&gt;&lt;/periodical&gt;&lt;pages&gt;1373&lt;/pages&gt;&lt;volume&gt;29&lt;/volume&gt;&lt;number&gt;6&lt;/number&gt;&lt;dates&gt;&lt;year&gt;2024&lt;/year&gt;&lt;/dates&gt;&lt;isbn&gt;1420-3049&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(10, 11)</w:t>
      </w:r>
      <w:r w:rsidRPr="00D575BC">
        <w:rPr>
          <w:sz w:val="24"/>
          <w:szCs w:val="24"/>
          <w:rtl/>
        </w:rPr>
        <w:fldChar w:fldCharType="end"/>
      </w:r>
      <w:r w:rsidRPr="00D575BC">
        <w:rPr>
          <w:rFonts w:hint="cs"/>
          <w:sz w:val="24"/>
          <w:szCs w:val="24"/>
          <w:rtl/>
        </w:rPr>
        <w:t>.</w:t>
      </w:r>
      <w:r w:rsidRPr="00D575BC">
        <w:rPr>
          <w:sz w:val="24"/>
          <w:szCs w:val="24"/>
        </w:rPr>
        <w:t xml:space="preserve"> </w:t>
      </w:r>
      <w:r w:rsidRPr="00D575BC">
        <w:rPr>
          <w:sz w:val="24"/>
          <w:szCs w:val="24"/>
          <w:rtl/>
        </w:rPr>
        <w:t xml:space="preserve">فراتر از نقش ضدسرطانی، </w:t>
      </w:r>
      <w:r w:rsidRPr="00D575BC">
        <w:rPr>
          <w:sz w:val="24"/>
          <w:szCs w:val="24"/>
        </w:rPr>
        <w:t>EGCG</w:t>
      </w:r>
      <w:r w:rsidRPr="00D575BC">
        <w:rPr>
          <w:rFonts w:hint="cs"/>
          <w:sz w:val="24"/>
          <w:szCs w:val="24"/>
          <w:rtl/>
        </w:rPr>
        <w:t xml:space="preserve"> </w:t>
      </w:r>
      <w:r w:rsidRPr="00D575BC">
        <w:rPr>
          <w:sz w:val="24"/>
          <w:szCs w:val="24"/>
          <w:rtl/>
        </w:rPr>
        <w:t>با بهبود حساسیت به انسولین و تنظیم متابولیسم لیپید، در کنترل فرآیندهای متابولیک مؤثر است و از طریق کاهش آسیب اکسیداتیو و تعدیل آبشارهای سیگنالینگ سلولی، پتانسیل محافظت عصبی را نیز نشان می‌دهد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&lt;EndNote&gt;&lt;Cite&gt;&lt;Author&gt;Islam&lt;/Author&gt;&lt;Year&gt;2025&lt;/Year&gt;&lt;RecNum&gt;11&lt;/RecNum&gt;&lt;DisplayText&gt;(12)&lt;/DisplayText&gt;&lt;record&gt;&lt;rec-number&gt;11&lt;/rec-number&gt;&lt;foreign-keys&gt;&lt;key app="EN" db-id="tsp2zzadoxvaapevwpbvp0eq2parp20dee9r" timestamp="1763450706"&gt;11&lt;/key&gt;&lt;/foreign-keys&gt;&lt;ref-type name="Journal Article"&gt;17&lt;/ref-type&gt;&lt;contributors&gt;&lt;authors&gt;&lt;author&gt;Islam, Md Rezaul&lt;/author&gt;&lt;author&gt;Rauf, Abdur&lt;/author&gt;&lt;author&gt;Akter, Sumiya&lt;/author&gt;&lt;author&gt;Akter, Happy&lt;/author&gt;&lt;author&gt;Al-Imran, Md Ibrahim Khalil&lt;/author&gt;&lt;author&gt;Islam, Samiul&lt;/author&gt;&lt;author&gt;Nessa, Meherun&lt;/author&gt;&lt;author&gt;Shompa, Chaity Jahan&lt;/author&gt;&lt;author&gt;Shuvo, Md Nabil Rihan&lt;/author&gt;&lt;author&gt;Khan, Imtiaz&lt;/author&gt;&lt;/authors&gt;&lt;/contributors&gt;&lt;titles&gt;&lt;title&gt;Epigallocatechin 3-gallate-induced neuroprotection in</w:instrText>
      </w:r>
      <w:r w:rsidRPr="00D575BC">
        <w:rPr>
          <w:sz w:val="24"/>
          <w:szCs w:val="24"/>
          <w:rtl/>
        </w:rPr>
        <w:instrText xml:space="preserve"> </w:instrText>
      </w:r>
      <w:r w:rsidRPr="00D575BC">
        <w:rPr>
          <w:sz w:val="24"/>
          <w:szCs w:val="24"/>
        </w:rPr>
        <w:instrText>neurodegenerative diseases: molecular mechanisms and clinical insights&lt;/title&gt;&lt;secondary-title&gt;Molecular and Cellular Biochemistry&lt;/secondary-title&gt;&lt;/titles&gt;&lt;periodical&gt;&lt;full-title&gt;Molecular and Cellular Biochemistry&lt;/full-title&gt;&lt;/periodical&gt;&lt;pages&gt;3363-3</w:instrText>
      </w:r>
      <w:r w:rsidRPr="00D575BC">
        <w:rPr>
          <w:sz w:val="24"/>
          <w:szCs w:val="24"/>
          <w:rtl/>
        </w:rPr>
        <w:instrText>383&lt;/</w:instrText>
      </w:r>
      <w:r w:rsidRPr="00D575BC">
        <w:rPr>
          <w:sz w:val="24"/>
          <w:szCs w:val="24"/>
        </w:rPr>
        <w:instrText>pages&gt;&lt;volume&gt;480&lt;/volume&gt;&lt;number&gt;6&lt;/number&gt;&lt;dates&gt;&lt;year&gt;2025&lt;/year&gt;&lt;/dates&gt;&lt;isbn&gt;0300-8177&lt;/isbn&gt;&lt;urls&gt;&lt;/urls&gt;&lt;/record&gt;&lt;/Cite&gt;&lt;/EndNote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(12)</w:t>
      </w:r>
      <w:r w:rsidRPr="00D575BC">
        <w:rPr>
          <w:sz w:val="24"/>
          <w:szCs w:val="24"/>
          <w:rtl/>
        </w:rPr>
        <w:fldChar w:fldCharType="end"/>
      </w:r>
      <w:r w:rsidRPr="00D575BC">
        <w:rPr>
          <w:sz w:val="24"/>
          <w:szCs w:val="24"/>
        </w:rPr>
        <w:t>.</w:t>
      </w:r>
    </w:p>
    <w:p w14:paraId="277F1C2F" w14:textId="77777777" w:rsidR="00CF69B3" w:rsidRPr="00D575BC" w:rsidRDefault="00CF69B3" w:rsidP="00CF69B3">
      <w:pPr>
        <w:pStyle w:val="a0"/>
        <w:rPr>
          <w:sz w:val="24"/>
          <w:szCs w:val="24"/>
        </w:rPr>
      </w:pPr>
      <w:r w:rsidRPr="00D575BC">
        <w:rPr>
          <w:sz w:val="24"/>
          <w:szCs w:val="24"/>
          <w:rtl/>
        </w:rPr>
        <w:t xml:space="preserve">با وجود این مزایا، کاربرد بالینی </w:t>
      </w:r>
      <w:r w:rsidRPr="00D575BC">
        <w:rPr>
          <w:sz w:val="24"/>
          <w:szCs w:val="24"/>
        </w:rPr>
        <w:t>EGCG</w:t>
      </w:r>
      <w:r w:rsidRPr="00D575BC">
        <w:rPr>
          <w:rFonts w:hint="cs"/>
          <w:sz w:val="24"/>
          <w:szCs w:val="24"/>
          <w:rtl/>
        </w:rPr>
        <w:t xml:space="preserve"> </w:t>
      </w:r>
      <w:r w:rsidRPr="00D575BC">
        <w:rPr>
          <w:sz w:val="24"/>
          <w:szCs w:val="24"/>
          <w:rtl/>
        </w:rPr>
        <w:t>به دلیل فراهمی زیستی پایین آن محدود است؛ چرا که این ترکیب در روده و کبد تحت متابولیسم گسترده‌ای شامل گلوکورونیداسیون، متیلاسیون و اتواکسیداسیون قرار می‌گیرد</w:t>
      </w:r>
      <w:r w:rsidRPr="00D575BC">
        <w:rPr>
          <w:rFonts w:hint="cs"/>
          <w:sz w:val="24"/>
          <w:szCs w:val="24"/>
          <w:rtl/>
        </w:rPr>
        <w:t>.</w:t>
      </w:r>
      <w:r w:rsidRPr="00D575BC">
        <w:rPr>
          <w:sz w:val="24"/>
          <w:szCs w:val="24"/>
        </w:rPr>
        <w:t xml:space="preserve"> </w:t>
      </w:r>
      <w:r w:rsidRPr="00D575BC">
        <w:rPr>
          <w:sz w:val="24"/>
          <w:szCs w:val="24"/>
          <w:rtl/>
        </w:rPr>
        <w:t xml:space="preserve">علاوه بر این، </w:t>
      </w:r>
      <w:r w:rsidRPr="00D575BC">
        <w:rPr>
          <w:sz w:val="24"/>
          <w:szCs w:val="24"/>
        </w:rPr>
        <w:t>EGCG</w:t>
      </w:r>
      <w:r w:rsidRPr="00D575BC">
        <w:rPr>
          <w:rFonts w:hint="cs"/>
          <w:sz w:val="24"/>
          <w:szCs w:val="24"/>
          <w:rtl/>
        </w:rPr>
        <w:t xml:space="preserve"> </w:t>
      </w:r>
      <w:r w:rsidRPr="00D575BC">
        <w:rPr>
          <w:sz w:val="24"/>
          <w:szCs w:val="24"/>
          <w:rtl/>
        </w:rPr>
        <w:t>اثرات وابسته به دوز دارد</w:t>
      </w:r>
      <w:r w:rsidRPr="00D575BC">
        <w:rPr>
          <w:rFonts w:hint="cs"/>
          <w:sz w:val="24"/>
          <w:szCs w:val="24"/>
          <w:rtl/>
        </w:rPr>
        <w:t>:</w:t>
      </w:r>
      <w:r w:rsidRPr="00D575BC">
        <w:rPr>
          <w:sz w:val="24"/>
          <w:szCs w:val="24"/>
        </w:rPr>
        <w:t xml:space="preserve"> </w:t>
      </w:r>
      <w:r w:rsidRPr="00D575BC">
        <w:rPr>
          <w:sz w:val="24"/>
          <w:szCs w:val="24"/>
          <w:rtl/>
        </w:rPr>
        <w:t>در غلظت‌های پایین به</w:t>
      </w:r>
      <w:r w:rsidRPr="00D575BC">
        <w:rPr>
          <w:rFonts w:hint="cs"/>
          <w:sz w:val="24"/>
          <w:szCs w:val="24"/>
          <w:rtl/>
        </w:rPr>
        <w:t xml:space="preserve"> </w:t>
      </w:r>
      <w:r w:rsidRPr="00D575BC">
        <w:rPr>
          <w:sz w:val="24"/>
          <w:szCs w:val="24"/>
          <w:rtl/>
        </w:rPr>
        <w:t>‌عنوان یک آنتی‌اکسیدان عمل می‌کند، در حالی که در غلظت‌های بالا می‌تواند به</w:t>
      </w:r>
      <w:r w:rsidRPr="00D575BC">
        <w:rPr>
          <w:rFonts w:hint="cs"/>
          <w:sz w:val="24"/>
          <w:szCs w:val="24"/>
          <w:rtl/>
        </w:rPr>
        <w:t xml:space="preserve"> </w:t>
      </w:r>
      <w:r w:rsidRPr="00D575BC">
        <w:rPr>
          <w:sz w:val="24"/>
          <w:szCs w:val="24"/>
          <w:rtl/>
        </w:rPr>
        <w:t>‌عنوان یک پرواکسیدان عمل کرده و گونه‌های فعال اکسیژن</w:t>
      </w:r>
      <w:r w:rsidRPr="00D575BC">
        <w:rPr>
          <w:rFonts w:hint="cs"/>
          <w:sz w:val="24"/>
          <w:szCs w:val="24"/>
          <w:rtl/>
        </w:rPr>
        <w:t xml:space="preserve"> (</w:t>
      </w:r>
      <w:r w:rsidRPr="00D575BC">
        <w:rPr>
          <w:sz w:val="24"/>
          <w:szCs w:val="24"/>
        </w:rPr>
        <w:t>ROS</w:t>
      </w:r>
      <w:r w:rsidRPr="00D575BC">
        <w:rPr>
          <w:rFonts w:hint="cs"/>
          <w:sz w:val="24"/>
          <w:szCs w:val="24"/>
          <w:rtl/>
        </w:rPr>
        <w:t>)</w:t>
      </w:r>
      <w:r w:rsidRPr="00D575BC">
        <w:rPr>
          <w:sz w:val="24"/>
          <w:szCs w:val="24"/>
          <w:rtl/>
        </w:rPr>
        <w:t xml:space="preserve"> تولید کند که منجر به آپوپتوز یا اتوفاژی می‌شوند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&lt;EndNote&gt;&lt;Cite&gt;&lt;Author&gt;Zhang&lt;/Author&gt;&lt;Year&gt;2024&lt;/Year&gt;&lt;RecNum&gt;13&lt;/RecNum&gt;&lt;DisplayText&gt;(13)&lt;/DisplayText&gt;&lt;record&gt;&lt;rec-number&gt;13&lt;/rec-number&gt;&lt;foreign-keys&gt;&lt;key app="EN" db-id="tsp2zzadoxvaapevwpbvp0eq2parp20dee9r" timestamp="1763450871"&gt;13&lt;/key&gt;&lt;/foreign-keys&gt;&lt;ref-type name="Journal Article"&gt;17&lt;/ref-type&gt;&lt;contributors&gt;&lt;authors&gt;&lt;author&gt;Zhang, Zhaoxian&lt;/author&gt;&lt;author&gt;Jia, Yaoyi&lt;/author&gt;&lt;author&gt;Zhang, Chenghui&lt;/author&gt;&lt;author&gt;Zhang, Zikang&lt;/author&gt;&lt;author&gt;Jin, Fangsha&lt;/author&gt;&lt;author&gt;Pan, Dandan&lt;/author&gt;&lt;author&gt;Li, Daxiang&lt;/author&gt;&lt;author&gt;Wu, Xiangwei&lt;/author&gt;&lt;/authors&gt;&lt;/contributors&gt;&lt;titles&gt;&lt;title&gt;Efficacy of epigallocatechin gallate (EGCG) and its underlying mechanism in preventing bisphenol-A-induced metabolic disorders in mice&lt;/title&gt;&lt;secondary-title&gt;Journal of Hazardous Materials&lt;/secondary-title&gt;&lt;/titles&gt;&lt;periodical&gt;&lt;full-title&gt;Journal of Hazardous Materials&lt;/full-title&gt;&lt;/periodical&gt;&lt;pages&gt;134098&lt;/pages&gt;&lt;volume&gt;469&lt;/volume&gt;&lt;dates&gt;&lt;year&gt;2024&lt;/year&gt;&lt;/dates&gt;&lt;isbn&gt;0304-3894&lt;/isbn&gt;&lt;urls&gt;&lt;/urls</w:instrText>
      </w:r>
      <w:r w:rsidRPr="00D575BC">
        <w:rPr>
          <w:sz w:val="24"/>
          <w:szCs w:val="24"/>
          <w:rtl/>
        </w:rPr>
        <w:instrText>&gt;&lt;/</w:instrText>
      </w:r>
      <w:r w:rsidRPr="00D575BC">
        <w:rPr>
          <w:sz w:val="24"/>
          <w:szCs w:val="24"/>
        </w:rPr>
        <w:instrTex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(13)</w:t>
      </w:r>
      <w:r w:rsidRPr="00D575BC">
        <w:rPr>
          <w:sz w:val="24"/>
          <w:szCs w:val="24"/>
          <w:rtl/>
        </w:rPr>
        <w:fldChar w:fldCharType="end"/>
      </w:r>
      <w:r w:rsidRPr="00D575BC">
        <w:rPr>
          <w:sz w:val="24"/>
          <w:szCs w:val="24"/>
        </w:rPr>
        <w:t>.</w:t>
      </w:r>
      <w:r w:rsidRPr="00D575BC">
        <w:rPr>
          <w:rFonts w:hint="cs"/>
          <w:sz w:val="24"/>
          <w:szCs w:val="24"/>
          <w:rtl/>
        </w:rPr>
        <w:t xml:space="preserve"> </w:t>
      </w:r>
      <w:r w:rsidRPr="00D575BC">
        <w:rPr>
          <w:sz w:val="24"/>
          <w:szCs w:val="24"/>
          <w:rtl/>
        </w:rPr>
        <w:t xml:space="preserve">به دلیل این ماهیت دوگانه، </w:t>
      </w:r>
      <w:r w:rsidRPr="00D575BC">
        <w:rPr>
          <w:sz w:val="24"/>
          <w:szCs w:val="24"/>
        </w:rPr>
        <w:t>EGCG</w:t>
      </w:r>
      <w:r w:rsidRPr="00D575BC">
        <w:rPr>
          <w:rFonts w:hint="cs"/>
          <w:sz w:val="24"/>
          <w:szCs w:val="24"/>
          <w:rtl/>
        </w:rPr>
        <w:t xml:space="preserve"> </w:t>
      </w:r>
      <w:r w:rsidRPr="00D575BC">
        <w:rPr>
          <w:sz w:val="24"/>
          <w:szCs w:val="24"/>
          <w:rtl/>
        </w:rPr>
        <w:t>هم به‌</w:t>
      </w:r>
      <w:r w:rsidRPr="00D575BC">
        <w:rPr>
          <w:rFonts w:hint="cs"/>
          <w:sz w:val="24"/>
          <w:szCs w:val="24"/>
          <w:rtl/>
        </w:rPr>
        <w:t xml:space="preserve"> </w:t>
      </w:r>
      <w:r w:rsidRPr="00D575BC">
        <w:rPr>
          <w:sz w:val="24"/>
          <w:szCs w:val="24"/>
          <w:rtl/>
        </w:rPr>
        <w:t>عنوان یک ترکیب محافظتی و هم به‌</w:t>
      </w:r>
      <w:r w:rsidRPr="00D575BC">
        <w:rPr>
          <w:rFonts w:hint="cs"/>
          <w:sz w:val="24"/>
          <w:szCs w:val="24"/>
          <w:rtl/>
        </w:rPr>
        <w:t xml:space="preserve"> </w:t>
      </w:r>
      <w:r w:rsidRPr="00D575BC">
        <w:rPr>
          <w:sz w:val="24"/>
          <w:szCs w:val="24"/>
          <w:rtl/>
        </w:rPr>
        <w:t>عنوان یک ابزار درمانی بالقوه مطرح است</w:t>
      </w:r>
      <w:r w:rsidRPr="00D575BC">
        <w:rPr>
          <w:rFonts w:hint="cs"/>
          <w:sz w:val="24"/>
          <w:szCs w:val="24"/>
          <w:rtl/>
        </w:rPr>
        <w:t xml:space="preserve">. </w:t>
      </w:r>
      <w:r w:rsidRPr="00D575BC">
        <w:rPr>
          <w:sz w:val="24"/>
          <w:szCs w:val="24"/>
          <w:rtl/>
        </w:rPr>
        <w:t xml:space="preserve">تحقیقات جاری بر راهبردهای نوین برای بهینه‌سازی تحویل </w:t>
      </w:r>
      <w:r w:rsidRPr="00D575BC">
        <w:rPr>
          <w:sz w:val="24"/>
          <w:szCs w:val="24"/>
        </w:rPr>
        <w:t>EGCG</w:t>
      </w:r>
      <w:r w:rsidRPr="00D575BC">
        <w:rPr>
          <w:rFonts w:hint="cs"/>
          <w:sz w:val="24"/>
          <w:szCs w:val="24"/>
          <w:rtl/>
        </w:rPr>
        <w:t xml:space="preserve"> </w:t>
      </w:r>
      <w:r w:rsidRPr="00D575BC">
        <w:rPr>
          <w:sz w:val="24"/>
          <w:szCs w:val="24"/>
          <w:rtl/>
        </w:rPr>
        <w:t>و بهره‌برداری از ظرفیت درمانی آن در شرایطی مانند بیماری‌های قلبی</w:t>
      </w:r>
      <w:r w:rsidRPr="00D575BC">
        <w:rPr>
          <w:rFonts w:cs="Times New Roman" w:hint="cs"/>
          <w:sz w:val="24"/>
          <w:szCs w:val="24"/>
          <w:rtl/>
        </w:rPr>
        <w:t>–</w:t>
      </w:r>
      <w:r w:rsidRPr="00D575BC">
        <w:rPr>
          <w:rFonts w:hint="cs"/>
          <w:sz w:val="24"/>
          <w:szCs w:val="24"/>
          <w:rtl/>
        </w:rPr>
        <w:t>عروقی،</w:t>
      </w:r>
      <w:r w:rsidRPr="00D575BC">
        <w:rPr>
          <w:sz w:val="24"/>
          <w:szCs w:val="24"/>
          <w:rtl/>
        </w:rPr>
        <w:t xml:space="preserve"> سرطان، دیابت و التهاب مرتبط با سالمندی متمرکز شده‌اند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&lt;EndNote&gt;&lt;Cite&gt;&lt;Author&gt;Mehmood&lt;/Author&gt;&lt;Year&gt;2022&lt;/Year&gt;&lt;RecNum&gt;14&lt;/RecNum&gt;&lt;DisplayText&gt;(14)&lt;/DisplayText&gt;&lt;record&gt;&lt;rec-number&gt;14&lt;/rec-number&gt;&lt;foreign-keys&gt;&lt;key app="EN" db-id="tsp2zzadoxvaapevwpbvp0eq2parp20dee9r" timestamp="1763450949"&gt;14</w:instrText>
      </w:r>
      <w:r w:rsidRPr="00D575BC">
        <w:rPr>
          <w:sz w:val="24"/>
          <w:szCs w:val="24"/>
          <w:rtl/>
        </w:rPr>
        <w:instrText>&lt;/</w:instrText>
      </w:r>
      <w:r w:rsidRPr="00D575BC">
        <w:rPr>
          <w:sz w:val="24"/>
          <w:szCs w:val="24"/>
        </w:rPr>
        <w:instrText>key&gt;&lt;/foreign-keys&gt;&lt;ref-type name="Journal Article"&gt;17&lt;/ref-type&gt;&lt;contributors&gt;&lt;authors&gt;&lt;author&gt;Mehmood, Shomaila&lt;/author&gt;&lt;author&gt;Maqsood, Maria&lt;/author&gt;&lt;author&gt;Mahtab, Nazia&lt;/author&gt;&lt;author&gt;Khan, Muhammad Issa&lt;/author&gt;&lt;author&gt;Sahar, Amna&lt;/author&gt;&lt;author</w:instrText>
      </w:r>
      <w:r w:rsidRPr="00D575BC">
        <w:rPr>
          <w:sz w:val="24"/>
          <w:szCs w:val="24"/>
          <w:rtl/>
        </w:rPr>
        <w:instrText>&gt;</w:instrText>
      </w:r>
      <w:r w:rsidRPr="00D575BC">
        <w:rPr>
          <w:sz w:val="24"/>
          <w:szCs w:val="24"/>
        </w:rPr>
        <w:instrText>Zaib, Sania&lt;/author&gt;&lt;author&gt;Gul, Shehla&lt;/author&gt;&lt;/authors&gt;&lt;/contributors&gt;&lt;titles&gt;&lt;title&gt;Epigallocatechin gallate: Phytochemistry, bioavailability, utilization challenges, and strategies&lt;/title&gt;&lt;secondary-title&gt;Journal of Food Biochemistry&lt;/secondary-title&gt;&lt;/titles&gt;&lt;periodical&gt;&lt;full-title&gt;Journal of Food Biochemistry&lt;/full-title&gt;&lt;/periodical&gt;&lt;pages&gt;e14189&lt;/pages&gt;&lt;volume&gt;46&lt;/volume&gt;&lt;number&gt;8&lt;/number&gt;&lt;dates&gt;&lt;year&gt;2022&lt;/year&gt;&lt;/dates&gt;&lt;isbn&gt;0145-8884&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(14)</w:t>
      </w:r>
      <w:r w:rsidRPr="00D575BC">
        <w:rPr>
          <w:sz w:val="24"/>
          <w:szCs w:val="24"/>
          <w:rtl/>
        </w:rPr>
        <w:fldChar w:fldCharType="end"/>
      </w:r>
      <w:r w:rsidRPr="00D575BC">
        <w:rPr>
          <w:sz w:val="24"/>
          <w:szCs w:val="24"/>
        </w:rPr>
        <w:t>.</w:t>
      </w:r>
    </w:p>
    <w:p w14:paraId="52690C6B" w14:textId="77777777" w:rsidR="00CF69B3" w:rsidRPr="00D575BC" w:rsidRDefault="00CF69B3" w:rsidP="00CF69B3">
      <w:pPr>
        <w:pStyle w:val="a0"/>
        <w:rPr>
          <w:sz w:val="24"/>
          <w:szCs w:val="24"/>
          <w:rtl/>
        </w:rPr>
      </w:pPr>
      <w:r w:rsidRPr="00D575BC">
        <w:rPr>
          <w:sz w:val="24"/>
          <w:szCs w:val="24"/>
          <w:rtl/>
        </w:rPr>
        <w:t xml:space="preserve">با وجود شواهد گسترده در مورد اثرات ضدالتهابی </w:t>
      </w:r>
      <w:r w:rsidRPr="00D575BC">
        <w:rPr>
          <w:sz w:val="24"/>
          <w:szCs w:val="24"/>
        </w:rPr>
        <w:t>EGCG</w:t>
      </w:r>
      <w:r w:rsidRPr="00D575BC">
        <w:rPr>
          <w:sz w:val="24"/>
          <w:szCs w:val="24"/>
          <w:rtl/>
        </w:rPr>
        <w:t xml:space="preserve">، نقش دقیق این ترکیب در تنظیم بیان کموکاین‌هایی مانند </w:t>
      </w:r>
      <w:r w:rsidRPr="00D575BC">
        <w:rPr>
          <w:sz w:val="24"/>
          <w:szCs w:val="24"/>
        </w:rPr>
        <w:t>CXCL1</w:t>
      </w:r>
      <w:r w:rsidRPr="00D575BC">
        <w:rPr>
          <w:sz w:val="24"/>
          <w:szCs w:val="24"/>
          <w:rtl/>
        </w:rPr>
        <w:t>، به</w:t>
      </w:r>
      <w:r w:rsidRPr="00D575BC">
        <w:rPr>
          <w:rFonts w:hint="cs"/>
          <w:sz w:val="24"/>
          <w:szCs w:val="24"/>
          <w:rtl/>
        </w:rPr>
        <w:t xml:space="preserve"> </w:t>
      </w:r>
      <w:r w:rsidRPr="00D575BC">
        <w:rPr>
          <w:sz w:val="24"/>
          <w:szCs w:val="24"/>
          <w:rtl/>
        </w:rPr>
        <w:t>‌ویژه در بافت کبد و در شرایط سالمندی، هنوز به</w:t>
      </w:r>
      <w:r w:rsidRPr="00D575BC">
        <w:rPr>
          <w:rFonts w:hint="cs"/>
          <w:sz w:val="24"/>
          <w:szCs w:val="24"/>
          <w:rtl/>
        </w:rPr>
        <w:t xml:space="preserve"> </w:t>
      </w:r>
      <w:r w:rsidRPr="00D575BC">
        <w:rPr>
          <w:sz w:val="24"/>
          <w:szCs w:val="24"/>
          <w:rtl/>
        </w:rPr>
        <w:t>‌طور کامل روشن نشده است. کبد به‌</w:t>
      </w:r>
      <w:r w:rsidRPr="00D575BC">
        <w:rPr>
          <w:rFonts w:hint="cs"/>
          <w:sz w:val="24"/>
          <w:szCs w:val="24"/>
          <w:rtl/>
        </w:rPr>
        <w:t xml:space="preserve"> </w:t>
      </w:r>
      <w:r w:rsidRPr="00D575BC">
        <w:rPr>
          <w:sz w:val="24"/>
          <w:szCs w:val="24"/>
          <w:rtl/>
        </w:rPr>
        <w:t>عنوان یکی از اندام‌های مرکزی در تنظیم پاسخ‌های ایمنی، در دوران سالمندی نسبت به فرآیندهای التهابی آسیب‌پذیرتر می‌شود. ازاین‌رو، بررسی اثر</w:t>
      </w:r>
      <w:r w:rsidRPr="00D575BC">
        <w:rPr>
          <w:sz w:val="24"/>
          <w:szCs w:val="24"/>
        </w:rPr>
        <w:t xml:space="preserve"> EGCG </w:t>
      </w:r>
      <w:r w:rsidRPr="00D575BC">
        <w:rPr>
          <w:sz w:val="24"/>
          <w:szCs w:val="24"/>
          <w:rtl/>
        </w:rPr>
        <w:t>بر بیان</w:t>
      </w:r>
      <w:r w:rsidRPr="00D575BC">
        <w:rPr>
          <w:sz w:val="24"/>
          <w:szCs w:val="24"/>
        </w:rPr>
        <w:t xml:space="preserve"> CXCL1 </w:t>
      </w:r>
      <w:r w:rsidRPr="00D575BC">
        <w:rPr>
          <w:sz w:val="24"/>
          <w:szCs w:val="24"/>
          <w:rtl/>
        </w:rPr>
        <w:t>در بافت کبد می‌تواند به درک بهتر نقش این ترکیب در کاهش التهاب مزمن کمک کرده و چشم‌اندازی برای بهبود وضعیت سلامت در دوران سالمندی فراهم آورد. بر همین اساس، مطالعه حاضر با هدف ارزیابی اثر</w:t>
      </w:r>
      <w:r w:rsidRPr="00D575BC">
        <w:rPr>
          <w:sz w:val="24"/>
          <w:szCs w:val="24"/>
        </w:rPr>
        <w:t xml:space="preserve"> EGCG </w:t>
      </w:r>
      <w:r w:rsidRPr="00D575BC">
        <w:rPr>
          <w:sz w:val="24"/>
          <w:szCs w:val="24"/>
          <w:rtl/>
        </w:rPr>
        <w:t>بر بیان</w:t>
      </w:r>
      <w:r w:rsidRPr="00D575BC">
        <w:rPr>
          <w:sz w:val="24"/>
          <w:szCs w:val="24"/>
        </w:rPr>
        <w:t xml:space="preserve"> CXCL1 </w:t>
      </w:r>
      <w:r w:rsidRPr="00D575BC">
        <w:rPr>
          <w:sz w:val="24"/>
          <w:szCs w:val="24"/>
          <w:rtl/>
        </w:rPr>
        <w:t xml:space="preserve">در کبد </w:t>
      </w:r>
      <w:r w:rsidRPr="00D575BC">
        <w:rPr>
          <w:rFonts w:hint="cs"/>
          <w:sz w:val="24"/>
          <w:szCs w:val="24"/>
          <w:rtl/>
        </w:rPr>
        <w:t>رت</w:t>
      </w:r>
      <w:r w:rsidRPr="00D575BC">
        <w:rPr>
          <w:sz w:val="24"/>
          <w:szCs w:val="24"/>
          <w:rtl/>
        </w:rPr>
        <w:t>‌های سالمند طراحی شده است تا نقش بالقوه آن در کنترل التهاب، ارتقای عملکرد ایمنی و پیشگیری از بیماری‌های مرتبط با پیری مورد بررسی قرار گیرد</w:t>
      </w:r>
      <w:r w:rsidRPr="00D575BC">
        <w:rPr>
          <w:sz w:val="24"/>
          <w:szCs w:val="24"/>
        </w:rPr>
        <w:t>.</w:t>
      </w:r>
    </w:p>
    <w:p w14:paraId="230E3A71" w14:textId="77777777" w:rsidR="00CF69B3" w:rsidRPr="00D575BC" w:rsidRDefault="00CF69B3" w:rsidP="00CF69B3">
      <w:pPr>
        <w:pStyle w:val="a0"/>
        <w:rPr>
          <w:b/>
          <w:bCs/>
          <w:sz w:val="24"/>
          <w:szCs w:val="24"/>
          <w:rtl/>
        </w:rPr>
      </w:pPr>
      <w:r w:rsidRPr="00D575BC">
        <w:rPr>
          <w:rFonts w:hint="cs"/>
          <w:b/>
          <w:bCs/>
          <w:sz w:val="24"/>
          <w:szCs w:val="24"/>
          <w:rtl/>
        </w:rPr>
        <w:t>مواد و روش ها</w:t>
      </w:r>
    </w:p>
    <w:p w14:paraId="73E4C528" w14:textId="77777777" w:rsidR="00CF69B3" w:rsidRPr="00D575BC" w:rsidRDefault="00CF69B3" w:rsidP="00CF69B3">
      <w:pPr>
        <w:pStyle w:val="a0"/>
        <w:rPr>
          <w:b/>
          <w:bCs/>
          <w:sz w:val="24"/>
          <w:szCs w:val="24"/>
          <w:rtl/>
        </w:rPr>
      </w:pPr>
      <w:r w:rsidRPr="00D575BC">
        <w:rPr>
          <w:rFonts w:hint="cs"/>
          <w:b/>
          <w:bCs/>
          <w:sz w:val="24"/>
          <w:szCs w:val="24"/>
          <w:rtl/>
        </w:rPr>
        <w:t>نمونه‏های پژوهش</w:t>
      </w:r>
    </w:p>
    <w:p w14:paraId="2A6C9402" w14:textId="77777777" w:rsidR="00CF69B3" w:rsidRPr="00D575BC" w:rsidRDefault="00CF69B3" w:rsidP="00CF69B3">
      <w:pPr>
        <w:pStyle w:val="a0"/>
        <w:rPr>
          <w:sz w:val="24"/>
          <w:szCs w:val="24"/>
        </w:rPr>
      </w:pPr>
      <w:r w:rsidRPr="00D575BC">
        <w:rPr>
          <w:sz w:val="24"/>
          <w:szCs w:val="24"/>
          <w:rtl/>
        </w:rPr>
        <w:t>به منظور انجام این مطالعه تجربی، از ۴۰</w:t>
      </w:r>
      <w:r w:rsidRPr="00D575BC">
        <w:rPr>
          <w:sz w:val="24"/>
          <w:szCs w:val="24"/>
        </w:rPr>
        <w:t xml:space="preserve"> </w:t>
      </w:r>
      <w:r w:rsidRPr="00D575BC">
        <w:rPr>
          <w:sz w:val="24"/>
          <w:szCs w:val="24"/>
          <w:rtl/>
        </w:rPr>
        <w:t>رت نر نژاد ویستار با سن تقریبی ۸</w:t>
      </w:r>
      <w:r w:rsidRPr="00D575BC">
        <w:rPr>
          <w:sz w:val="24"/>
          <w:szCs w:val="24"/>
        </w:rPr>
        <w:t xml:space="preserve"> </w:t>
      </w:r>
      <w:r w:rsidRPr="00D575BC">
        <w:rPr>
          <w:sz w:val="24"/>
          <w:szCs w:val="24"/>
          <w:rtl/>
        </w:rPr>
        <w:t>تا ۱۰ هفته و وزن ۲۰۰</w:t>
      </w:r>
      <w:r w:rsidRPr="00D575BC">
        <w:rPr>
          <w:sz w:val="24"/>
          <w:szCs w:val="24"/>
        </w:rPr>
        <w:t xml:space="preserve"> </w:t>
      </w:r>
      <w:r w:rsidRPr="00D575BC">
        <w:rPr>
          <w:sz w:val="24"/>
          <w:szCs w:val="24"/>
          <w:rtl/>
        </w:rPr>
        <w:t>تا ۲۲۰ گرم استفاده شد. حیوانات از مؤسسه انستیتو پاستور ایران تهیه و در آزمایشگاه رازی واحد شوشتر تحت شرایط استاندارد نگهداری شدند</w:t>
      </w:r>
      <w:r w:rsidRPr="00D575BC">
        <w:rPr>
          <w:sz w:val="24"/>
          <w:szCs w:val="24"/>
        </w:rPr>
        <w:t>.</w:t>
      </w:r>
      <w:r w:rsidRPr="00D575BC">
        <w:rPr>
          <w:rFonts w:hint="cs"/>
          <w:sz w:val="24"/>
          <w:szCs w:val="24"/>
          <w:rtl/>
        </w:rPr>
        <w:t xml:space="preserve"> </w:t>
      </w:r>
      <w:r w:rsidRPr="00D575BC">
        <w:rPr>
          <w:sz w:val="24"/>
          <w:szCs w:val="24"/>
          <w:rtl/>
        </w:rPr>
        <w:t>برای ایجاد مدل سالمندی، حیوانات به مدت ۹</w:t>
      </w:r>
      <w:r w:rsidRPr="00D575BC">
        <w:rPr>
          <w:sz w:val="24"/>
          <w:szCs w:val="24"/>
        </w:rPr>
        <w:t xml:space="preserve"> </w:t>
      </w:r>
      <w:r w:rsidRPr="00D575BC">
        <w:rPr>
          <w:sz w:val="24"/>
          <w:szCs w:val="24"/>
          <w:rtl/>
        </w:rPr>
        <w:t>هفته روزانه ۱۰۰</w:t>
      </w:r>
      <w:r w:rsidRPr="00D575BC">
        <w:rPr>
          <w:sz w:val="24"/>
          <w:szCs w:val="24"/>
        </w:rPr>
        <w:t xml:space="preserve"> </w:t>
      </w:r>
      <w:r w:rsidRPr="00D575BC">
        <w:rPr>
          <w:sz w:val="24"/>
          <w:szCs w:val="24"/>
          <w:rtl/>
        </w:rPr>
        <w:t>میلی‌گرم به ازای هر کیلوگرم وزن بدن دی‌گالاکتوز</w:t>
      </w:r>
      <w:r w:rsidRPr="00D575BC">
        <w:rPr>
          <w:rFonts w:hint="cs"/>
          <w:sz w:val="24"/>
          <w:szCs w:val="24"/>
          <w:rtl/>
        </w:rPr>
        <w:t xml:space="preserve"> </w:t>
      </w:r>
      <w:r w:rsidRPr="00D575BC">
        <w:rPr>
          <w:sz w:val="24"/>
          <w:szCs w:val="24"/>
          <w:rtl/>
        </w:rPr>
        <w:t>محلول در سالین به‌</w:t>
      </w:r>
      <w:r w:rsidRPr="00D575BC">
        <w:rPr>
          <w:rFonts w:hint="cs"/>
          <w:sz w:val="24"/>
          <w:szCs w:val="24"/>
          <w:rtl/>
        </w:rPr>
        <w:t xml:space="preserve"> </w:t>
      </w:r>
      <w:r w:rsidRPr="00D575BC">
        <w:rPr>
          <w:sz w:val="24"/>
          <w:szCs w:val="24"/>
          <w:rtl/>
        </w:rPr>
        <w:t>صورت تزریق درون‌</w:t>
      </w:r>
      <w:r w:rsidRPr="00D575BC">
        <w:rPr>
          <w:rFonts w:hint="cs"/>
          <w:sz w:val="24"/>
          <w:szCs w:val="24"/>
          <w:rtl/>
        </w:rPr>
        <w:t xml:space="preserve"> </w:t>
      </w:r>
      <w:r w:rsidRPr="00D575BC">
        <w:rPr>
          <w:sz w:val="24"/>
          <w:szCs w:val="24"/>
          <w:rtl/>
        </w:rPr>
        <w:t>صفاقی دریافت کردند. پس از این مرحله، رت‌ها به‌</w:t>
      </w:r>
      <w:r w:rsidRPr="00D575BC">
        <w:rPr>
          <w:rFonts w:hint="cs"/>
          <w:sz w:val="24"/>
          <w:szCs w:val="24"/>
          <w:rtl/>
        </w:rPr>
        <w:t xml:space="preserve"> </w:t>
      </w:r>
      <w:r w:rsidRPr="00D575BC">
        <w:rPr>
          <w:sz w:val="24"/>
          <w:szCs w:val="24"/>
          <w:rtl/>
        </w:rPr>
        <w:t>طور تصادفی به ۴</w:t>
      </w:r>
      <w:r w:rsidRPr="00D575BC">
        <w:rPr>
          <w:sz w:val="24"/>
          <w:szCs w:val="24"/>
        </w:rPr>
        <w:t xml:space="preserve"> </w:t>
      </w:r>
      <w:r w:rsidRPr="00D575BC">
        <w:rPr>
          <w:sz w:val="24"/>
          <w:szCs w:val="24"/>
          <w:rtl/>
        </w:rPr>
        <w:t>گروه (هر گروه شامل ۱۰ حیوان) تقسیم شدند</w:t>
      </w:r>
      <w:r w:rsidRPr="00D575BC">
        <w:rPr>
          <w:sz w:val="24"/>
          <w:szCs w:val="24"/>
        </w:rPr>
        <w:t>:</w:t>
      </w:r>
      <w:r w:rsidRPr="00D575BC">
        <w:rPr>
          <w:rFonts w:hint="cs"/>
          <w:sz w:val="24"/>
          <w:szCs w:val="24"/>
          <w:rtl/>
        </w:rPr>
        <w:t xml:space="preserve"> </w:t>
      </w:r>
      <w:r w:rsidRPr="00D575BC">
        <w:rPr>
          <w:sz w:val="24"/>
          <w:szCs w:val="24"/>
          <w:rtl/>
        </w:rPr>
        <w:t>گروه کنتر</w:t>
      </w:r>
      <w:r w:rsidRPr="00D575BC">
        <w:rPr>
          <w:rFonts w:hint="cs"/>
          <w:sz w:val="24"/>
          <w:szCs w:val="24"/>
          <w:rtl/>
        </w:rPr>
        <w:t>ل شامل</w:t>
      </w:r>
      <w:r w:rsidRPr="00D575BC">
        <w:rPr>
          <w:sz w:val="24"/>
          <w:szCs w:val="24"/>
        </w:rPr>
        <w:t xml:space="preserve"> </w:t>
      </w:r>
      <w:r w:rsidRPr="00D575BC">
        <w:rPr>
          <w:sz w:val="24"/>
          <w:szCs w:val="24"/>
          <w:rtl/>
        </w:rPr>
        <w:t>حیواناتی که تنها در شرایط استاندارد آزمایشگاهی نگهداری شدند</w:t>
      </w:r>
      <w:r w:rsidRPr="00D575BC">
        <w:rPr>
          <w:rFonts w:hint="cs"/>
          <w:sz w:val="24"/>
          <w:szCs w:val="24"/>
          <w:rtl/>
        </w:rPr>
        <w:t xml:space="preserve">، </w:t>
      </w:r>
      <w:r w:rsidRPr="00D575BC">
        <w:rPr>
          <w:sz w:val="24"/>
          <w:szCs w:val="24"/>
          <w:rtl/>
        </w:rPr>
        <w:t>گروه درمان ۱</w:t>
      </w:r>
      <w:r w:rsidRPr="00D575BC">
        <w:rPr>
          <w:rFonts w:hint="cs"/>
          <w:sz w:val="24"/>
          <w:szCs w:val="24"/>
          <w:rtl/>
        </w:rPr>
        <w:t xml:space="preserve"> شامل </w:t>
      </w:r>
      <w:r w:rsidRPr="00D575BC">
        <w:rPr>
          <w:sz w:val="24"/>
          <w:szCs w:val="24"/>
          <w:rtl/>
        </w:rPr>
        <w:t>رت‌هایی که</w:t>
      </w:r>
      <w:r w:rsidRPr="00D575BC">
        <w:rPr>
          <w:rFonts w:hint="cs"/>
          <w:sz w:val="24"/>
          <w:szCs w:val="24"/>
          <w:rtl/>
        </w:rPr>
        <w:t xml:space="preserve"> </w:t>
      </w:r>
      <w:r w:rsidRPr="00D575BC">
        <w:rPr>
          <w:sz w:val="24"/>
          <w:szCs w:val="24"/>
        </w:rPr>
        <w:t>EGCG</w:t>
      </w:r>
      <w:r w:rsidRPr="00D575BC">
        <w:rPr>
          <w:rFonts w:hint="cs"/>
          <w:sz w:val="24"/>
          <w:szCs w:val="24"/>
          <w:rtl/>
        </w:rPr>
        <w:t xml:space="preserve"> (</w:t>
      </w:r>
      <w:r w:rsidRPr="00D575BC">
        <w:rPr>
          <w:sz w:val="24"/>
          <w:szCs w:val="24"/>
          <w:rtl/>
        </w:rPr>
        <w:t>محصول شرکت</w:t>
      </w:r>
      <w:r w:rsidRPr="00D575BC">
        <w:rPr>
          <w:rFonts w:hint="cs"/>
          <w:sz w:val="24"/>
          <w:szCs w:val="24"/>
          <w:rtl/>
        </w:rPr>
        <w:t xml:space="preserve"> </w:t>
      </w:r>
      <w:r w:rsidRPr="00D575BC">
        <w:rPr>
          <w:sz w:val="24"/>
          <w:szCs w:val="24"/>
        </w:rPr>
        <w:t>Sigma</w:t>
      </w:r>
      <w:r w:rsidRPr="00D575BC">
        <w:rPr>
          <w:sz w:val="24"/>
          <w:szCs w:val="24"/>
          <w:rtl/>
        </w:rPr>
        <w:t>، آمریکا</w:t>
      </w:r>
      <w:r w:rsidRPr="00D575BC">
        <w:rPr>
          <w:rFonts w:hint="cs"/>
          <w:sz w:val="24"/>
          <w:szCs w:val="24"/>
          <w:rtl/>
        </w:rPr>
        <w:t>)</w:t>
      </w:r>
      <w:r w:rsidRPr="00D575BC">
        <w:rPr>
          <w:sz w:val="24"/>
          <w:szCs w:val="24"/>
        </w:rPr>
        <w:t xml:space="preserve"> </w:t>
      </w:r>
      <w:r w:rsidRPr="00D575BC">
        <w:rPr>
          <w:sz w:val="24"/>
          <w:szCs w:val="24"/>
          <w:rtl/>
        </w:rPr>
        <w:t xml:space="preserve">را به میزان </w:t>
      </w:r>
      <w:r w:rsidRPr="00D575BC">
        <w:rPr>
          <w:sz w:val="24"/>
          <w:szCs w:val="24"/>
        </w:rPr>
        <w:t>mg/kg/day</w:t>
      </w:r>
      <w:r w:rsidRPr="00D575BC">
        <w:rPr>
          <w:rFonts w:hint="cs"/>
          <w:sz w:val="24"/>
          <w:szCs w:val="24"/>
          <w:rtl/>
        </w:rPr>
        <w:t xml:space="preserve"> </w:t>
      </w:r>
      <w:r w:rsidRPr="00D575BC">
        <w:rPr>
          <w:sz w:val="24"/>
          <w:szCs w:val="24"/>
          <w:rtl/>
        </w:rPr>
        <w:t>۵۰</w:t>
      </w:r>
      <w:r w:rsidRPr="00D575BC">
        <w:rPr>
          <w:rFonts w:hint="cs"/>
          <w:sz w:val="24"/>
          <w:szCs w:val="24"/>
          <w:rtl/>
        </w:rPr>
        <w:t xml:space="preserve"> </w:t>
      </w:r>
      <w:r w:rsidRPr="00D575BC">
        <w:rPr>
          <w:sz w:val="24"/>
          <w:szCs w:val="24"/>
          <w:rtl/>
        </w:rPr>
        <w:t>به</w:t>
      </w:r>
      <w:r w:rsidRPr="00D575BC">
        <w:rPr>
          <w:rFonts w:hint="cs"/>
          <w:sz w:val="24"/>
          <w:szCs w:val="24"/>
          <w:rtl/>
        </w:rPr>
        <w:t xml:space="preserve"> </w:t>
      </w:r>
      <w:r w:rsidRPr="00D575BC">
        <w:rPr>
          <w:sz w:val="24"/>
          <w:szCs w:val="24"/>
          <w:rtl/>
        </w:rPr>
        <w:t>‌صورت گاواژ و به مدت ۴</w:t>
      </w:r>
      <w:r w:rsidRPr="00D575BC">
        <w:rPr>
          <w:sz w:val="24"/>
          <w:szCs w:val="24"/>
        </w:rPr>
        <w:t xml:space="preserve"> </w:t>
      </w:r>
      <w:r w:rsidRPr="00D575BC">
        <w:rPr>
          <w:sz w:val="24"/>
          <w:szCs w:val="24"/>
          <w:rtl/>
        </w:rPr>
        <w:t>هفته دریافت کردند</w:t>
      </w:r>
      <w:r w:rsidRPr="00D575BC">
        <w:rPr>
          <w:rFonts w:hint="cs"/>
          <w:sz w:val="24"/>
          <w:szCs w:val="24"/>
          <w:rtl/>
        </w:rPr>
        <w:t xml:space="preserve">، </w:t>
      </w:r>
      <w:r w:rsidRPr="00D575BC">
        <w:rPr>
          <w:sz w:val="24"/>
          <w:szCs w:val="24"/>
          <w:rtl/>
        </w:rPr>
        <w:t>گروه سالمند</w:t>
      </w:r>
      <w:r w:rsidRPr="00D575BC">
        <w:rPr>
          <w:rFonts w:hint="cs"/>
          <w:sz w:val="24"/>
          <w:szCs w:val="24"/>
          <w:rtl/>
        </w:rPr>
        <w:t xml:space="preserve"> شامل </w:t>
      </w:r>
      <w:r w:rsidRPr="00D575BC">
        <w:rPr>
          <w:sz w:val="24"/>
          <w:szCs w:val="24"/>
          <w:rtl/>
        </w:rPr>
        <w:t>حیواناتی که به مدت ۹</w:t>
      </w:r>
      <w:r w:rsidRPr="00D575BC">
        <w:rPr>
          <w:sz w:val="24"/>
          <w:szCs w:val="24"/>
        </w:rPr>
        <w:t xml:space="preserve"> </w:t>
      </w:r>
      <w:r w:rsidRPr="00D575BC">
        <w:rPr>
          <w:sz w:val="24"/>
          <w:szCs w:val="24"/>
          <w:rtl/>
        </w:rPr>
        <w:t>هفته تزریق درون</w:t>
      </w:r>
      <w:r w:rsidRPr="00D575BC">
        <w:rPr>
          <w:rFonts w:hint="cs"/>
          <w:sz w:val="24"/>
          <w:szCs w:val="24"/>
          <w:rtl/>
        </w:rPr>
        <w:t xml:space="preserve"> </w:t>
      </w:r>
      <w:r w:rsidRPr="00D575BC">
        <w:rPr>
          <w:sz w:val="24"/>
          <w:szCs w:val="24"/>
          <w:rtl/>
        </w:rPr>
        <w:t>‌صفاقی دی‌گالاکتوز دریافت کردند</w:t>
      </w:r>
      <w:r w:rsidRPr="00D575BC">
        <w:rPr>
          <w:rFonts w:hint="cs"/>
          <w:sz w:val="24"/>
          <w:szCs w:val="24"/>
          <w:rtl/>
        </w:rPr>
        <w:t xml:space="preserve">، و </w:t>
      </w:r>
      <w:r w:rsidRPr="00D575BC">
        <w:rPr>
          <w:sz w:val="24"/>
          <w:szCs w:val="24"/>
          <w:rtl/>
        </w:rPr>
        <w:t>گروه درمان ۲</w:t>
      </w:r>
      <w:r w:rsidRPr="00D575BC">
        <w:rPr>
          <w:rFonts w:hint="cs"/>
          <w:sz w:val="24"/>
          <w:szCs w:val="24"/>
          <w:rtl/>
        </w:rPr>
        <w:t xml:space="preserve"> شامل </w:t>
      </w:r>
      <w:r w:rsidRPr="00D575BC">
        <w:rPr>
          <w:sz w:val="24"/>
          <w:szCs w:val="24"/>
          <w:rtl/>
        </w:rPr>
        <w:t xml:space="preserve">حیواناتی که پس از ۹ هفته تزریق دی‌گالاکتوز، </w:t>
      </w:r>
      <w:r w:rsidRPr="00D575BC">
        <w:rPr>
          <w:sz w:val="24"/>
          <w:szCs w:val="24"/>
        </w:rPr>
        <w:t>EGCG</w:t>
      </w:r>
      <w:r w:rsidRPr="00D575BC">
        <w:rPr>
          <w:rFonts w:hint="cs"/>
          <w:sz w:val="24"/>
          <w:szCs w:val="24"/>
          <w:rtl/>
        </w:rPr>
        <w:t xml:space="preserve"> </w:t>
      </w:r>
      <w:r w:rsidRPr="00D575BC">
        <w:rPr>
          <w:sz w:val="24"/>
          <w:szCs w:val="24"/>
          <w:rtl/>
        </w:rPr>
        <w:t xml:space="preserve">را به میزان </w:t>
      </w:r>
      <w:r w:rsidRPr="00D575BC">
        <w:rPr>
          <w:sz w:val="24"/>
          <w:szCs w:val="24"/>
        </w:rPr>
        <w:t xml:space="preserve"> mg/kg/day</w:t>
      </w:r>
      <w:r w:rsidRPr="00D575BC">
        <w:rPr>
          <w:sz w:val="24"/>
          <w:szCs w:val="24"/>
          <w:rtl/>
        </w:rPr>
        <w:t>۵۰</w:t>
      </w:r>
      <w:r w:rsidRPr="00D575BC">
        <w:rPr>
          <w:rFonts w:hint="cs"/>
          <w:sz w:val="24"/>
          <w:szCs w:val="24"/>
          <w:rtl/>
        </w:rPr>
        <w:t xml:space="preserve"> </w:t>
      </w:r>
      <w:r w:rsidRPr="00D575BC">
        <w:rPr>
          <w:sz w:val="24"/>
          <w:szCs w:val="24"/>
          <w:rtl/>
        </w:rPr>
        <w:t>به مدت ۴</w:t>
      </w:r>
      <w:r w:rsidRPr="00D575BC">
        <w:rPr>
          <w:sz w:val="24"/>
          <w:szCs w:val="24"/>
        </w:rPr>
        <w:t xml:space="preserve"> </w:t>
      </w:r>
      <w:r w:rsidRPr="00D575BC">
        <w:rPr>
          <w:sz w:val="24"/>
          <w:szCs w:val="24"/>
          <w:rtl/>
        </w:rPr>
        <w:t>هفته دریافت نمودند</w:t>
      </w:r>
      <w:r w:rsidRPr="00D575BC">
        <w:rPr>
          <w:sz w:val="24"/>
          <w:szCs w:val="24"/>
        </w:rPr>
        <w:t>.</w:t>
      </w:r>
    </w:p>
    <w:p w14:paraId="2276C999" w14:textId="77777777" w:rsidR="00CF69B3" w:rsidRPr="00D575BC" w:rsidRDefault="00CF69B3" w:rsidP="00CF69B3">
      <w:pPr>
        <w:pStyle w:val="a0"/>
        <w:rPr>
          <w:sz w:val="24"/>
          <w:szCs w:val="24"/>
        </w:rPr>
      </w:pPr>
      <w:r w:rsidRPr="00D575BC">
        <w:rPr>
          <w:sz w:val="24"/>
          <w:szCs w:val="24"/>
          <w:rtl/>
        </w:rPr>
        <w:lastRenderedPageBreak/>
        <w:t>در پایان دوره ۲۸</w:t>
      </w:r>
      <w:r w:rsidRPr="00D575BC">
        <w:rPr>
          <w:sz w:val="24"/>
          <w:szCs w:val="24"/>
        </w:rPr>
        <w:t xml:space="preserve"> </w:t>
      </w:r>
      <w:r w:rsidRPr="00D575BC">
        <w:rPr>
          <w:sz w:val="24"/>
          <w:szCs w:val="24"/>
          <w:rtl/>
        </w:rPr>
        <w:t>روزه تیمار، حیوانات به مدت ۱۲</w:t>
      </w:r>
      <w:r w:rsidRPr="00D575BC">
        <w:rPr>
          <w:sz w:val="24"/>
          <w:szCs w:val="24"/>
        </w:rPr>
        <w:t xml:space="preserve"> </w:t>
      </w:r>
      <w:r w:rsidRPr="00D575BC">
        <w:rPr>
          <w:sz w:val="24"/>
          <w:szCs w:val="24"/>
          <w:rtl/>
        </w:rPr>
        <w:t>ساعت ناشتا نگه داشته شدند. سپس هر رت پیش از بیهوشی توزین شد و در دسیکاتور شیشه‌ای حاوی پنبه آغشته به داروی کتامین</w:t>
      </w:r>
      <w:r w:rsidRPr="00D575BC">
        <w:rPr>
          <w:sz w:val="24"/>
          <w:szCs w:val="24"/>
        </w:rPr>
        <w:t xml:space="preserve"> </w:t>
      </w:r>
      <w:r w:rsidRPr="00D575BC">
        <w:rPr>
          <w:rFonts w:hint="cs"/>
          <w:sz w:val="24"/>
          <w:szCs w:val="24"/>
          <w:rtl/>
        </w:rPr>
        <w:t>(</w:t>
      </w:r>
      <w:proofErr w:type="spellStart"/>
      <w:r w:rsidRPr="00D575BC">
        <w:rPr>
          <w:sz w:val="24"/>
          <w:szCs w:val="24"/>
        </w:rPr>
        <w:t>Bramer</w:t>
      </w:r>
      <w:proofErr w:type="spellEnd"/>
      <w:r w:rsidRPr="00D575BC">
        <w:rPr>
          <w:sz w:val="24"/>
          <w:szCs w:val="24"/>
          <w:rtl/>
        </w:rPr>
        <w:t>، آلمان</w:t>
      </w:r>
      <w:r w:rsidRPr="00D575BC">
        <w:rPr>
          <w:rFonts w:hint="cs"/>
          <w:sz w:val="24"/>
          <w:szCs w:val="24"/>
          <w:rtl/>
        </w:rPr>
        <w:t>)</w:t>
      </w:r>
      <w:r w:rsidRPr="00D575BC">
        <w:rPr>
          <w:sz w:val="24"/>
          <w:szCs w:val="24"/>
        </w:rPr>
        <w:t xml:space="preserve"> </w:t>
      </w:r>
      <w:r w:rsidRPr="00D575BC">
        <w:rPr>
          <w:sz w:val="24"/>
          <w:szCs w:val="24"/>
          <w:rtl/>
        </w:rPr>
        <w:t>و زایلازین</w:t>
      </w:r>
      <w:r w:rsidRPr="00D575BC">
        <w:rPr>
          <w:sz w:val="24"/>
          <w:szCs w:val="24"/>
        </w:rPr>
        <w:t xml:space="preserve"> </w:t>
      </w:r>
      <w:r w:rsidRPr="00D575BC">
        <w:rPr>
          <w:rFonts w:hint="cs"/>
          <w:sz w:val="24"/>
          <w:szCs w:val="24"/>
          <w:rtl/>
        </w:rPr>
        <w:t>(</w:t>
      </w:r>
      <w:proofErr w:type="spellStart"/>
      <w:r w:rsidRPr="00D575BC">
        <w:rPr>
          <w:sz w:val="24"/>
          <w:szCs w:val="24"/>
        </w:rPr>
        <w:t>Alfasan</w:t>
      </w:r>
      <w:proofErr w:type="spellEnd"/>
      <w:r w:rsidRPr="00D575BC">
        <w:rPr>
          <w:sz w:val="24"/>
          <w:szCs w:val="24"/>
          <w:rtl/>
        </w:rPr>
        <w:t>، هلند</w:t>
      </w:r>
      <w:r w:rsidRPr="00D575BC">
        <w:rPr>
          <w:rFonts w:hint="cs"/>
          <w:sz w:val="24"/>
          <w:szCs w:val="24"/>
          <w:rtl/>
        </w:rPr>
        <w:t>)</w:t>
      </w:r>
      <w:r w:rsidRPr="00D575BC">
        <w:rPr>
          <w:sz w:val="24"/>
          <w:szCs w:val="24"/>
        </w:rPr>
        <w:t xml:space="preserve"> </w:t>
      </w:r>
      <w:r w:rsidRPr="00D575BC">
        <w:rPr>
          <w:sz w:val="24"/>
          <w:szCs w:val="24"/>
          <w:rtl/>
        </w:rPr>
        <w:t>بیهوش گردید. پس از بیهوشی، کبد حیوانات به</w:t>
      </w:r>
      <w:r w:rsidRPr="00D575BC">
        <w:rPr>
          <w:rFonts w:hint="cs"/>
          <w:sz w:val="24"/>
          <w:szCs w:val="24"/>
          <w:rtl/>
        </w:rPr>
        <w:t xml:space="preserve"> </w:t>
      </w:r>
      <w:r w:rsidRPr="00D575BC">
        <w:rPr>
          <w:sz w:val="24"/>
          <w:szCs w:val="24"/>
          <w:rtl/>
        </w:rPr>
        <w:t xml:space="preserve">‌سرعت خارج شده، با سرم فیزیولوژی شستشو داده شد و پس از خشک‌کردن سطحی با کاغذ صافی، در دمای </w:t>
      </w:r>
      <w:r w:rsidRPr="00D575BC">
        <w:rPr>
          <w:sz w:val="24"/>
          <w:szCs w:val="24"/>
        </w:rPr>
        <w:t>°C</w:t>
      </w:r>
      <w:r w:rsidRPr="00D575BC">
        <w:rPr>
          <w:rFonts w:hint="cs"/>
          <w:sz w:val="24"/>
          <w:szCs w:val="24"/>
          <w:rtl/>
        </w:rPr>
        <w:t xml:space="preserve">80- </w:t>
      </w:r>
      <w:r w:rsidRPr="00D575BC">
        <w:rPr>
          <w:sz w:val="24"/>
          <w:szCs w:val="24"/>
          <w:rtl/>
        </w:rPr>
        <w:t>برای ارزیابی بیان ژن نگهداری شد</w:t>
      </w:r>
      <w:r w:rsidRPr="00D575BC">
        <w:rPr>
          <w:sz w:val="24"/>
          <w:szCs w:val="24"/>
        </w:rPr>
        <w:t>.</w:t>
      </w:r>
    </w:p>
    <w:p w14:paraId="4220C740" w14:textId="77777777" w:rsidR="00CF69B3" w:rsidRPr="00D575BC" w:rsidRDefault="00CF69B3" w:rsidP="00CF69B3">
      <w:pPr>
        <w:pStyle w:val="a0"/>
        <w:rPr>
          <w:b/>
          <w:bCs/>
          <w:sz w:val="24"/>
          <w:szCs w:val="24"/>
          <w:rtl/>
        </w:rPr>
      </w:pPr>
      <w:bookmarkStart w:id="4" w:name="_Toc136802707"/>
      <w:bookmarkStart w:id="5" w:name="_Toc202482576"/>
      <w:r w:rsidRPr="00D575BC">
        <w:rPr>
          <w:rFonts w:hint="cs"/>
          <w:b/>
          <w:bCs/>
          <w:sz w:val="24"/>
          <w:szCs w:val="24"/>
          <w:rtl/>
        </w:rPr>
        <w:t>اندازه</w:t>
      </w:r>
      <w:r w:rsidRPr="00D575BC">
        <w:rPr>
          <w:rFonts w:hint="cs"/>
          <w:b/>
          <w:bCs/>
          <w:sz w:val="24"/>
          <w:szCs w:val="24"/>
          <w:rtl/>
          <w:cs/>
        </w:rPr>
        <w:t>‎گیری شاخص‏های التهابی</w:t>
      </w:r>
    </w:p>
    <w:p w14:paraId="7E88C5D4" w14:textId="77777777" w:rsidR="00CF69B3" w:rsidRPr="00D575BC" w:rsidRDefault="00CF69B3" w:rsidP="00CF69B3">
      <w:pPr>
        <w:pStyle w:val="a0"/>
        <w:rPr>
          <w:sz w:val="24"/>
          <w:szCs w:val="24"/>
          <w:lang w:bidi="fa-IR"/>
        </w:rPr>
      </w:pPr>
      <w:r w:rsidRPr="00D575BC">
        <w:rPr>
          <w:sz w:val="24"/>
          <w:szCs w:val="24"/>
          <w:rtl/>
        </w:rPr>
        <w:t xml:space="preserve">پس از برداشت بافت‌های کبد، نمونه‌ها تمیز شده و در محلول نمکی نرمال سرد شستشو داده شدند. سپس بافت‌ها در محلول کلرید پتاسیم </w:t>
      </w:r>
      <w:r w:rsidRPr="00D575BC">
        <w:rPr>
          <w:rFonts w:hint="cs"/>
          <w:sz w:val="24"/>
          <w:szCs w:val="24"/>
          <w:rtl/>
        </w:rPr>
        <w:t>15/1% (</w:t>
      </w:r>
      <w:r w:rsidRPr="00D575BC">
        <w:rPr>
          <w:sz w:val="24"/>
          <w:szCs w:val="24"/>
        </w:rPr>
        <w:t>w/v</w:t>
      </w:r>
      <w:r w:rsidRPr="00D575BC">
        <w:rPr>
          <w:rFonts w:hint="cs"/>
          <w:sz w:val="24"/>
          <w:szCs w:val="24"/>
          <w:rtl/>
        </w:rPr>
        <w:t>)</w:t>
      </w:r>
      <w:r w:rsidRPr="00D575BC">
        <w:rPr>
          <w:sz w:val="24"/>
          <w:szCs w:val="24"/>
        </w:rPr>
        <w:t xml:space="preserve"> </w:t>
      </w:r>
      <w:r w:rsidRPr="00D575BC">
        <w:rPr>
          <w:sz w:val="24"/>
          <w:szCs w:val="24"/>
          <w:rtl/>
        </w:rPr>
        <w:t>حاوی ۱</w:t>
      </w:r>
      <w:r w:rsidRPr="00D575BC">
        <w:rPr>
          <w:sz w:val="24"/>
          <w:szCs w:val="24"/>
        </w:rPr>
        <w:t xml:space="preserve"> </w:t>
      </w:r>
      <w:r w:rsidRPr="00D575BC">
        <w:rPr>
          <w:sz w:val="24"/>
          <w:szCs w:val="24"/>
          <w:rtl/>
        </w:rPr>
        <w:t>میلی‌مول در لیتر فنیل‌متیل‌سولفونیل فلوراید</w:t>
      </w:r>
      <w:r w:rsidRPr="00D575BC">
        <w:rPr>
          <w:rFonts w:hint="cs"/>
          <w:sz w:val="24"/>
          <w:szCs w:val="24"/>
          <w:rtl/>
        </w:rPr>
        <w:t xml:space="preserve"> (</w:t>
      </w:r>
      <w:r w:rsidRPr="00D575BC">
        <w:rPr>
          <w:sz w:val="24"/>
          <w:szCs w:val="24"/>
        </w:rPr>
        <w:t>PMSF</w:t>
      </w:r>
      <w:r w:rsidRPr="00D575BC">
        <w:rPr>
          <w:rFonts w:hint="cs"/>
          <w:sz w:val="24"/>
          <w:szCs w:val="24"/>
          <w:rtl/>
        </w:rPr>
        <w:t>)</w:t>
      </w:r>
      <w:r w:rsidRPr="00D575BC">
        <w:rPr>
          <w:sz w:val="24"/>
          <w:szCs w:val="24"/>
        </w:rPr>
        <w:t xml:space="preserve"> </w:t>
      </w:r>
      <w:r w:rsidRPr="00D575BC">
        <w:rPr>
          <w:sz w:val="24"/>
          <w:szCs w:val="24"/>
          <w:rtl/>
        </w:rPr>
        <w:t>همگن گردیدند. همگنات به مدت ۱۵</w:t>
      </w:r>
      <w:r w:rsidRPr="00D575BC">
        <w:rPr>
          <w:sz w:val="24"/>
          <w:szCs w:val="24"/>
        </w:rPr>
        <w:t xml:space="preserve"> </w:t>
      </w:r>
      <w:r w:rsidRPr="00D575BC">
        <w:rPr>
          <w:sz w:val="24"/>
          <w:szCs w:val="24"/>
          <w:rtl/>
        </w:rPr>
        <w:t>دقیقه با سرعت ۳۰۰۰</w:t>
      </w:r>
      <w:r w:rsidRPr="00D575BC">
        <w:rPr>
          <w:sz w:val="24"/>
          <w:szCs w:val="24"/>
        </w:rPr>
        <w:t xml:space="preserve"> </w:t>
      </w:r>
      <w:r w:rsidRPr="00D575BC">
        <w:rPr>
          <w:sz w:val="24"/>
          <w:szCs w:val="24"/>
          <w:rtl/>
        </w:rPr>
        <w:t>دور در دقیقه سانتریفیوژ شد و محلول رویی به</w:t>
      </w:r>
      <w:r w:rsidRPr="00D575BC">
        <w:rPr>
          <w:rFonts w:hint="cs"/>
          <w:sz w:val="24"/>
          <w:szCs w:val="24"/>
          <w:rtl/>
        </w:rPr>
        <w:t xml:space="preserve"> </w:t>
      </w:r>
      <w:r w:rsidRPr="00D575BC">
        <w:rPr>
          <w:sz w:val="24"/>
          <w:szCs w:val="24"/>
          <w:rtl/>
        </w:rPr>
        <w:t xml:space="preserve">‌وسیله فیلتر غشایی </w:t>
      </w:r>
      <w:r w:rsidRPr="00D575BC">
        <w:rPr>
          <w:rFonts w:hint="cs"/>
          <w:sz w:val="24"/>
          <w:szCs w:val="24"/>
          <w:rtl/>
        </w:rPr>
        <w:t>2/0</w:t>
      </w:r>
      <w:r w:rsidRPr="00D575BC">
        <w:rPr>
          <w:sz w:val="24"/>
          <w:szCs w:val="24"/>
        </w:rPr>
        <w:t xml:space="preserve"> </w:t>
      </w:r>
      <w:r w:rsidRPr="00D575BC">
        <w:rPr>
          <w:sz w:val="24"/>
          <w:szCs w:val="24"/>
          <w:rtl/>
        </w:rPr>
        <w:t xml:space="preserve">میکرومتری صاف گردید. فیلتراسیون حاصل برای اندازه‌گیری سیتوکین‌های </w:t>
      </w:r>
      <w:r w:rsidRPr="00D575BC">
        <w:rPr>
          <w:sz w:val="24"/>
          <w:szCs w:val="24"/>
        </w:rPr>
        <w:t>TNF-α</w:t>
      </w:r>
      <w:r w:rsidRPr="00D575BC">
        <w:rPr>
          <w:sz w:val="24"/>
          <w:szCs w:val="24"/>
          <w:rtl/>
        </w:rPr>
        <w:t xml:space="preserve">، </w:t>
      </w:r>
      <w:r w:rsidRPr="00D575BC">
        <w:rPr>
          <w:sz w:val="24"/>
          <w:szCs w:val="24"/>
        </w:rPr>
        <w:t>IL-6</w:t>
      </w:r>
      <w:r w:rsidRPr="00D575BC">
        <w:rPr>
          <w:rFonts w:hint="cs"/>
          <w:sz w:val="24"/>
          <w:szCs w:val="24"/>
          <w:rtl/>
        </w:rPr>
        <w:t xml:space="preserve"> </w:t>
      </w:r>
      <w:r w:rsidRPr="00D575BC">
        <w:rPr>
          <w:sz w:val="24"/>
          <w:szCs w:val="24"/>
          <w:rtl/>
        </w:rPr>
        <w:t>و</w:t>
      </w:r>
      <w:r w:rsidRPr="00D575BC">
        <w:rPr>
          <w:sz w:val="24"/>
          <w:szCs w:val="24"/>
        </w:rPr>
        <w:t xml:space="preserve"> MCP-1</w:t>
      </w:r>
      <w:r w:rsidRPr="00D575BC">
        <w:rPr>
          <w:rFonts w:hint="cs"/>
          <w:sz w:val="24"/>
          <w:szCs w:val="24"/>
          <w:rtl/>
        </w:rPr>
        <w:t xml:space="preserve"> </w:t>
      </w:r>
      <w:r w:rsidRPr="00D575BC">
        <w:rPr>
          <w:sz w:val="24"/>
          <w:szCs w:val="24"/>
          <w:rtl/>
        </w:rPr>
        <w:t>(شرکت پیشگامان پژوهش آناهیتا، ایران) مورد استفاده قرار گرفت. سنجش این فاکتورها با روش الایزا</w:t>
      </w:r>
      <w:r w:rsidRPr="00D575BC">
        <w:rPr>
          <w:rFonts w:hint="cs"/>
          <w:sz w:val="24"/>
          <w:szCs w:val="24"/>
          <w:rtl/>
        </w:rPr>
        <w:t xml:space="preserve"> (</w:t>
      </w:r>
      <w:r w:rsidRPr="00D575BC">
        <w:rPr>
          <w:sz w:val="24"/>
          <w:szCs w:val="24"/>
        </w:rPr>
        <w:t>ELISA</w:t>
      </w:r>
      <w:r w:rsidRPr="00D575BC">
        <w:rPr>
          <w:rFonts w:hint="cs"/>
          <w:sz w:val="24"/>
          <w:szCs w:val="24"/>
          <w:rtl/>
        </w:rPr>
        <w:t xml:space="preserve">) </w:t>
      </w:r>
      <w:r w:rsidRPr="00D575BC">
        <w:rPr>
          <w:sz w:val="24"/>
          <w:szCs w:val="24"/>
          <w:rtl/>
        </w:rPr>
        <w:t>و با بهره‌گیری از کیت‌های تجاری، مطابق دستورالعمل سازنده انجام شد</w:t>
      </w:r>
      <w:r w:rsidRPr="00D575BC">
        <w:rPr>
          <w:sz w:val="24"/>
          <w:szCs w:val="24"/>
          <w:lang w:bidi="fa-IR"/>
        </w:rPr>
        <w:t>.</w:t>
      </w:r>
    </w:p>
    <w:p w14:paraId="601A3F37" w14:textId="77777777" w:rsidR="00CF69B3" w:rsidRPr="00D575BC" w:rsidRDefault="00CF69B3" w:rsidP="00CF69B3">
      <w:pPr>
        <w:pStyle w:val="a0"/>
        <w:rPr>
          <w:b/>
          <w:bCs/>
          <w:sz w:val="24"/>
          <w:szCs w:val="24"/>
          <w:rtl/>
        </w:rPr>
      </w:pPr>
      <w:r w:rsidRPr="00D575BC">
        <w:rPr>
          <w:rFonts w:hint="cs"/>
          <w:b/>
          <w:bCs/>
          <w:sz w:val="24"/>
          <w:szCs w:val="24"/>
          <w:rtl/>
        </w:rPr>
        <w:t xml:space="preserve">ارزیابی بیان ژن های </w:t>
      </w:r>
      <w:r w:rsidRPr="00D575BC">
        <w:rPr>
          <w:b/>
          <w:bCs/>
          <w:sz w:val="24"/>
          <w:szCs w:val="24"/>
        </w:rPr>
        <w:t>CXCL1</w:t>
      </w:r>
      <w:bookmarkEnd w:id="4"/>
      <w:bookmarkEnd w:id="5"/>
    </w:p>
    <w:p w14:paraId="69F7FBB7" w14:textId="77777777" w:rsidR="00CF69B3" w:rsidRPr="00D575BC" w:rsidRDefault="00CF69B3" w:rsidP="00CF69B3">
      <w:pPr>
        <w:pStyle w:val="a0"/>
        <w:rPr>
          <w:sz w:val="24"/>
          <w:szCs w:val="24"/>
        </w:rPr>
      </w:pPr>
      <w:bookmarkStart w:id="6" w:name="_Toc136802708"/>
      <w:bookmarkStart w:id="7" w:name="_Toc202482577"/>
      <w:r w:rsidRPr="00D575BC">
        <w:rPr>
          <w:sz w:val="24"/>
          <w:szCs w:val="24"/>
          <w:rtl/>
        </w:rPr>
        <w:t>برای استخراج</w:t>
      </w:r>
      <w:r w:rsidRPr="00D575BC">
        <w:rPr>
          <w:rFonts w:hint="cs"/>
          <w:sz w:val="24"/>
          <w:szCs w:val="24"/>
          <w:rtl/>
        </w:rPr>
        <w:t xml:space="preserve"> </w:t>
      </w:r>
      <w:r w:rsidRPr="00D575BC">
        <w:rPr>
          <w:sz w:val="24"/>
          <w:szCs w:val="24"/>
        </w:rPr>
        <w:t>RNA</w:t>
      </w:r>
      <w:r w:rsidRPr="00D575BC">
        <w:rPr>
          <w:sz w:val="24"/>
          <w:szCs w:val="24"/>
          <w:rtl/>
        </w:rPr>
        <w:t>، ابتدا بافت‌های کبدی نمونه‌ها در نیتروژن مایع به</w:t>
      </w:r>
      <w:r w:rsidRPr="00D575BC">
        <w:rPr>
          <w:rFonts w:hint="cs"/>
          <w:sz w:val="24"/>
          <w:szCs w:val="24"/>
          <w:rtl/>
        </w:rPr>
        <w:t xml:space="preserve"> </w:t>
      </w:r>
      <w:r w:rsidRPr="00D575BC">
        <w:rPr>
          <w:sz w:val="24"/>
          <w:szCs w:val="24"/>
          <w:rtl/>
        </w:rPr>
        <w:t>‌طور کامل لیز شدند تا تخریب آنزیمی به حداقل برسد. سپس فرآیند استخراج</w:t>
      </w:r>
      <w:r w:rsidRPr="00D575BC">
        <w:rPr>
          <w:sz w:val="24"/>
          <w:szCs w:val="24"/>
        </w:rPr>
        <w:t xml:space="preserve"> RNA </w:t>
      </w:r>
      <w:r w:rsidRPr="00D575BC">
        <w:rPr>
          <w:sz w:val="24"/>
          <w:szCs w:val="24"/>
          <w:rtl/>
        </w:rPr>
        <w:t>با استفاده از کیت تجاری (پارس طوس، ایران) مطابق دستورالعمل سازنده انجام گردید. به</w:t>
      </w:r>
      <w:r w:rsidRPr="00D575BC">
        <w:rPr>
          <w:rFonts w:hint="cs"/>
          <w:sz w:val="24"/>
          <w:szCs w:val="24"/>
          <w:rtl/>
        </w:rPr>
        <w:t xml:space="preserve"> </w:t>
      </w:r>
      <w:r w:rsidRPr="00D575BC">
        <w:rPr>
          <w:sz w:val="24"/>
          <w:szCs w:val="24"/>
          <w:rtl/>
        </w:rPr>
        <w:t>‌منظور ارزیابی کمیت</w:t>
      </w:r>
      <w:r w:rsidRPr="00D575BC">
        <w:rPr>
          <w:sz w:val="24"/>
          <w:szCs w:val="24"/>
        </w:rPr>
        <w:t xml:space="preserve"> RNA </w:t>
      </w:r>
      <w:r w:rsidRPr="00D575BC">
        <w:rPr>
          <w:sz w:val="24"/>
          <w:szCs w:val="24"/>
          <w:rtl/>
        </w:rPr>
        <w:t>استخراج‌</w:t>
      </w:r>
      <w:r w:rsidRPr="00D575BC">
        <w:rPr>
          <w:rFonts w:hint="cs"/>
          <w:sz w:val="24"/>
          <w:szCs w:val="24"/>
          <w:rtl/>
        </w:rPr>
        <w:t xml:space="preserve"> </w:t>
      </w:r>
      <w:r w:rsidRPr="00D575BC">
        <w:rPr>
          <w:sz w:val="24"/>
          <w:szCs w:val="24"/>
          <w:rtl/>
        </w:rPr>
        <w:t xml:space="preserve">شده، از دستگاه </w:t>
      </w:r>
      <w:r w:rsidRPr="00D575BC">
        <w:rPr>
          <w:rFonts w:hint="cs"/>
          <w:sz w:val="24"/>
          <w:szCs w:val="24"/>
          <w:rtl/>
        </w:rPr>
        <w:t xml:space="preserve">نانودراپ </w:t>
      </w:r>
      <w:r w:rsidRPr="00D575BC">
        <w:rPr>
          <w:sz w:val="24"/>
          <w:szCs w:val="24"/>
          <w:rtl/>
        </w:rPr>
        <w:t>استفاده شد که نسبت جذب در طول‌</w:t>
      </w:r>
      <w:r w:rsidRPr="00D575BC">
        <w:rPr>
          <w:rFonts w:hint="cs"/>
          <w:sz w:val="24"/>
          <w:szCs w:val="24"/>
          <w:rtl/>
        </w:rPr>
        <w:t xml:space="preserve"> </w:t>
      </w:r>
      <w:r w:rsidRPr="00D575BC">
        <w:rPr>
          <w:sz w:val="24"/>
          <w:szCs w:val="24"/>
          <w:rtl/>
        </w:rPr>
        <w:t>موج‌های 260 و 280 نانومتر را اندازه‌گیری می‌کند. نسبت</w:t>
      </w:r>
      <w:r w:rsidRPr="00D575BC">
        <w:rPr>
          <w:sz w:val="24"/>
          <w:szCs w:val="24"/>
        </w:rPr>
        <w:t xml:space="preserve"> A260/A280 </w:t>
      </w:r>
      <w:r w:rsidRPr="00D575BC">
        <w:rPr>
          <w:sz w:val="24"/>
          <w:szCs w:val="24"/>
          <w:rtl/>
        </w:rPr>
        <w:t xml:space="preserve">در محدوده </w:t>
      </w:r>
      <w:r w:rsidRPr="00D575BC">
        <w:rPr>
          <w:rFonts w:hint="cs"/>
          <w:sz w:val="24"/>
          <w:szCs w:val="24"/>
          <w:rtl/>
        </w:rPr>
        <w:t>8/1</w:t>
      </w:r>
      <w:r w:rsidRPr="00D575BC">
        <w:rPr>
          <w:sz w:val="24"/>
          <w:szCs w:val="24"/>
          <w:rtl/>
        </w:rPr>
        <w:t xml:space="preserve"> تا </w:t>
      </w:r>
      <w:r w:rsidRPr="00D575BC">
        <w:rPr>
          <w:rFonts w:hint="cs"/>
          <w:sz w:val="24"/>
          <w:szCs w:val="24"/>
          <w:rtl/>
        </w:rPr>
        <w:t>0/2</w:t>
      </w:r>
      <w:r w:rsidRPr="00D575BC">
        <w:rPr>
          <w:sz w:val="24"/>
          <w:szCs w:val="24"/>
          <w:rtl/>
        </w:rPr>
        <w:t xml:space="preserve"> به‌</w:t>
      </w:r>
      <w:r w:rsidRPr="00D575BC">
        <w:rPr>
          <w:rFonts w:hint="cs"/>
          <w:sz w:val="24"/>
          <w:szCs w:val="24"/>
          <w:rtl/>
        </w:rPr>
        <w:t xml:space="preserve"> </w:t>
      </w:r>
      <w:r w:rsidRPr="00D575BC">
        <w:rPr>
          <w:sz w:val="24"/>
          <w:szCs w:val="24"/>
          <w:rtl/>
        </w:rPr>
        <w:t>عنوان شاخصی از خلوص مناسب</w:t>
      </w:r>
      <w:r w:rsidRPr="00D575BC">
        <w:rPr>
          <w:sz w:val="24"/>
          <w:szCs w:val="24"/>
        </w:rPr>
        <w:t xml:space="preserve"> RNA </w:t>
      </w:r>
      <w:r w:rsidRPr="00D575BC">
        <w:rPr>
          <w:sz w:val="24"/>
          <w:szCs w:val="24"/>
          <w:rtl/>
        </w:rPr>
        <w:t>در نظر گرفته شد</w:t>
      </w:r>
      <w:r w:rsidRPr="00D575BC">
        <w:rPr>
          <w:sz w:val="24"/>
          <w:szCs w:val="24"/>
        </w:rPr>
        <w:t>.</w:t>
      </w:r>
      <w:r w:rsidRPr="00D575BC">
        <w:rPr>
          <w:rFonts w:hint="cs"/>
          <w:sz w:val="24"/>
          <w:szCs w:val="24"/>
          <w:rtl/>
        </w:rPr>
        <w:t xml:space="preserve"> </w:t>
      </w:r>
      <w:r w:rsidRPr="00D575BC">
        <w:rPr>
          <w:sz w:val="24"/>
          <w:szCs w:val="24"/>
          <w:rtl/>
        </w:rPr>
        <w:t>برای بررسی کیفیت و یکپارچگی</w:t>
      </w:r>
      <w:r w:rsidRPr="00D575BC">
        <w:rPr>
          <w:sz w:val="24"/>
          <w:szCs w:val="24"/>
        </w:rPr>
        <w:t xml:space="preserve"> RNA </w:t>
      </w:r>
      <w:r w:rsidRPr="00D575BC">
        <w:rPr>
          <w:sz w:val="24"/>
          <w:szCs w:val="24"/>
          <w:rtl/>
        </w:rPr>
        <w:t>ژنومی، نمونه‌ها بر روی ژل آگارز 1% تحت شرایط الکتروفورز قرار گرفتند و الگوهای باندی حاصل مورد ارزیابی قرار گرفت. پس از تأیید کیفیت</w:t>
      </w:r>
      <w:r w:rsidRPr="00D575BC">
        <w:rPr>
          <w:rFonts w:hint="cs"/>
          <w:sz w:val="24"/>
          <w:szCs w:val="24"/>
          <w:rtl/>
        </w:rPr>
        <w:t xml:space="preserve"> </w:t>
      </w:r>
      <w:r w:rsidRPr="00D575BC">
        <w:rPr>
          <w:sz w:val="24"/>
          <w:szCs w:val="24"/>
        </w:rPr>
        <w:t>RNA</w:t>
      </w:r>
      <w:r w:rsidRPr="00D575BC">
        <w:rPr>
          <w:sz w:val="24"/>
          <w:szCs w:val="24"/>
          <w:rtl/>
        </w:rPr>
        <w:t xml:space="preserve">، سنتز </w:t>
      </w:r>
      <w:r w:rsidRPr="00D575BC">
        <w:rPr>
          <w:sz w:val="24"/>
          <w:szCs w:val="24"/>
        </w:rPr>
        <w:t>cDNA</w:t>
      </w:r>
      <w:r w:rsidRPr="00D575BC">
        <w:rPr>
          <w:rFonts w:hint="cs"/>
          <w:sz w:val="24"/>
          <w:szCs w:val="24"/>
          <w:rtl/>
        </w:rPr>
        <w:t xml:space="preserve"> </w:t>
      </w:r>
      <w:r w:rsidRPr="00D575BC">
        <w:rPr>
          <w:sz w:val="24"/>
          <w:szCs w:val="24"/>
          <w:rtl/>
        </w:rPr>
        <w:t>با استفاده از کیت سنتز مکمل (پارس طوس، ایران) طبق دستورالعمل شرکت انجام شد</w:t>
      </w:r>
      <w:r w:rsidRPr="00D575BC">
        <w:rPr>
          <w:sz w:val="24"/>
          <w:szCs w:val="24"/>
        </w:rPr>
        <w:t>.</w:t>
      </w:r>
    </w:p>
    <w:p w14:paraId="69809A68" w14:textId="77777777" w:rsidR="00CF69B3" w:rsidRPr="00D575BC" w:rsidRDefault="00CF69B3" w:rsidP="00CF69B3">
      <w:pPr>
        <w:pStyle w:val="a0"/>
        <w:rPr>
          <w:sz w:val="24"/>
          <w:szCs w:val="24"/>
        </w:rPr>
      </w:pPr>
      <w:r w:rsidRPr="00D575BC">
        <w:rPr>
          <w:sz w:val="24"/>
          <w:szCs w:val="24"/>
          <w:rtl/>
        </w:rPr>
        <w:t xml:space="preserve">جهت انجام واکنش </w:t>
      </w:r>
      <w:r w:rsidRPr="00D575BC">
        <w:rPr>
          <w:sz w:val="24"/>
          <w:szCs w:val="24"/>
        </w:rPr>
        <w:t>Real-Time PCR</w:t>
      </w:r>
      <w:r w:rsidRPr="00D575BC">
        <w:rPr>
          <w:sz w:val="24"/>
          <w:szCs w:val="24"/>
          <w:rtl/>
        </w:rPr>
        <w:t>، طراحی پرایمرهای اختصاصی برای ژن هدف</w:t>
      </w:r>
      <w:r w:rsidRPr="00D575BC">
        <w:rPr>
          <w:rFonts w:hint="cs"/>
          <w:sz w:val="24"/>
          <w:szCs w:val="24"/>
          <w:rtl/>
        </w:rPr>
        <w:t xml:space="preserve"> (</w:t>
      </w:r>
      <w:r w:rsidRPr="00D575BC">
        <w:rPr>
          <w:sz w:val="24"/>
          <w:szCs w:val="24"/>
        </w:rPr>
        <w:t>CXCL1</w:t>
      </w:r>
      <w:r w:rsidRPr="00D575BC">
        <w:rPr>
          <w:rFonts w:hint="cs"/>
          <w:sz w:val="24"/>
          <w:szCs w:val="24"/>
          <w:rtl/>
        </w:rPr>
        <w:t>)</w:t>
      </w:r>
      <w:r w:rsidRPr="00D575BC">
        <w:rPr>
          <w:sz w:val="24"/>
          <w:szCs w:val="24"/>
        </w:rPr>
        <w:t xml:space="preserve"> </w:t>
      </w:r>
      <w:r w:rsidRPr="00D575BC">
        <w:rPr>
          <w:sz w:val="24"/>
          <w:szCs w:val="24"/>
          <w:rtl/>
        </w:rPr>
        <w:t>و ژن مرجع</w:t>
      </w:r>
      <w:r w:rsidRPr="00D575BC">
        <w:rPr>
          <w:rFonts w:hint="cs"/>
          <w:sz w:val="24"/>
          <w:szCs w:val="24"/>
          <w:rtl/>
        </w:rPr>
        <w:t xml:space="preserve"> (</w:t>
      </w:r>
      <w:r w:rsidRPr="00D575BC">
        <w:rPr>
          <w:sz w:val="24"/>
          <w:szCs w:val="24"/>
        </w:rPr>
        <w:t>GAPDH</w:t>
      </w:r>
      <w:r w:rsidRPr="00D575BC">
        <w:rPr>
          <w:rFonts w:hint="cs"/>
          <w:sz w:val="24"/>
          <w:szCs w:val="24"/>
          <w:rtl/>
        </w:rPr>
        <w:t xml:space="preserve">) </w:t>
      </w:r>
      <w:r w:rsidRPr="00D575BC">
        <w:rPr>
          <w:sz w:val="24"/>
          <w:szCs w:val="24"/>
          <w:rtl/>
        </w:rPr>
        <w:t>با استفاده از پایگاه داده</w:t>
      </w:r>
      <w:r w:rsidRPr="00D575BC">
        <w:rPr>
          <w:sz w:val="24"/>
          <w:szCs w:val="24"/>
        </w:rPr>
        <w:t xml:space="preserve"> NCBI </w:t>
      </w:r>
      <w:r w:rsidRPr="00D575BC">
        <w:rPr>
          <w:sz w:val="24"/>
          <w:szCs w:val="24"/>
          <w:rtl/>
        </w:rPr>
        <w:t>و نرم‌افزار</w:t>
      </w:r>
      <w:r w:rsidRPr="00D575BC">
        <w:rPr>
          <w:rFonts w:hint="cs"/>
          <w:sz w:val="24"/>
          <w:szCs w:val="24"/>
          <w:rtl/>
        </w:rPr>
        <w:t xml:space="preserve"> </w:t>
      </w:r>
      <w:r w:rsidRPr="00D575BC">
        <w:rPr>
          <w:sz w:val="24"/>
          <w:szCs w:val="24"/>
        </w:rPr>
        <w:t>OLIGO 5</w:t>
      </w:r>
      <w:r w:rsidRPr="00D575BC">
        <w:rPr>
          <w:rFonts w:hint="cs"/>
          <w:sz w:val="24"/>
          <w:szCs w:val="24"/>
          <w:rtl/>
        </w:rPr>
        <w:t xml:space="preserve"> </w:t>
      </w:r>
      <w:r w:rsidRPr="00D575BC">
        <w:rPr>
          <w:sz w:val="24"/>
          <w:szCs w:val="24"/>
          <w:rtl/>
        </w:rPr>
        <w:t xml:space="preserve">صورت گرفت (جدول 1). برای بهینه‌سازی شرایط واکنش، تمامی اجزای مورد نیاز شامل غلظت پرایمرها، </w:t>
      </w:r>
      <w:proofErr w:type="spellStart"/>
      <w:r w:rsidRPr="00D575BC">
        <w:rPr>
          <w:sz w:val="24"/>
          <w:szCs w:val="24"/>
        </w:rPr>
        <w:t>MgCl</w:t>
      </w:r>
      <w:proofErr w:type="spellEnd"/>
      <w:r w:rsidRPr="00D575BC">
        <w:rPr>
          <w:sz w:val="24"/>
          <w:szCs w:val="24"/>
        </w:rPr>
        <w:t>₂</w:t>
      </w:r>
      <w:r w:rsidRPr="00D575BC">
        <w:rPr>
          <w:sz w:val="24"/>
          <w:szCs w:val="24"/>
          <w:rtl/>
        </w:rPr>
        <w:t>، و دماهای چرخه‌های حرارتی در محدوده‌های مختلف آزمایش شدند تا بهترین شرایط تکثیر انتخاب گردد</w:t>
      </w:r>
      <w:r w:rsidRPr="00D575BC">
        <w:rPr>
          <w:sz w:val="24"/>
          <w:szCs w:val="24"/>
        </w:rPr>
        <w:t>.</w:t>
      </w:r>
    </w:p>
    <w:p w14:paraId="05B07C73" w14:textId="77777777" w:rsidR="00CF69B3" w:rsidRPr="00D575BC" w:rsidRDefault="00CF69B3" w:rsidP="00CF69B3">
      <w:pPr>
        <w:pStyle w:val="a0"/>
        <w:rPr>
          <w:sz w:val="24"/>
          <w:szCs w:val="24"/>
        </w:rPr>
      </w:pPr>
      <w:r w:rsidRPr="00D575BC">
        <w:rPr>
          <w:sz w:val="24"/>
          <w:szCs w:val="24"/>
          <w:rtl/>
        </w:rPr>
        <w:t>پس از اجرای واکنش‌های</w:t>
      </w:r>
      <w:r w:rsidRPr="00D575BC">
        <w:rPr>
          <w:sz w:val="24"/>
          <w:szCs w:val="24"/>
        </w:rPr>
        <w:t xml:space="preserve"> Real-Time PCR </w:t>
      </w:r>
      <w:r w:rsidRPr="00D575BC">
        <w:rPr>
          <w:sz w:val="24"/>
          <w:szCs w:val="24"/>
          <w:rtl/>
        </w:rPr>
        <w:t>و تعیین مقادیر</w:t>
      </w:r>
      <w:r w:rsidRPr="00D575BC">
        <w:rPr>
          <w:rFonts w:hint="cs"/>
          <w:sz w:val="24"/>
          <w:szCs w:val="24"/>
          <w:rtl/>
        </w:rPr>
        <w:t xml:space="preserve"> </w:t>
      </w:r>
      <w:r w:rsidRPr="00D575BC">
        <w:rPr>
          <w:sz w:val="24"/>
          <w:szCs w:val="24"/>
        </w:rPr>
        <w:t>Cycle Threshold (CT)</w:t>
      </w:r>
      <w:r w:rsidRPr="00D575BC">
        <w:rPr>
          <w:rFonts w:hint="cs"/>
          <w:sz w:val="24"/>
          <w:szCs w:val="24"/>
          <w:rtl/>
        </w:rPr>
        <w:t xml:space="preserve"> </w:t>
      </w:r>
      <w:r w:rsidRPr="00D575BC">
        <w:rPr>
          <w:sz w:val="24"/>
          <w:szCs w:val="24"/>
          <w:rtl/>
        </w:rPr>
        <w:t xml:space="preserve">برای ژن هدف و ژن مرجع، میزان بیان نسبی ژن‌ها با استفاده از روش </w:t>
      </w:r>
      <w:r w:rsidRPr="00D575BC">
        <w:rPr>
          <w:sz w:val="24"/>
          <w:szCs w:val="24"/>
        </w:rPr>
        <w:t>ΔΔCT (Fold Change)</w:t>
      </w:r>
      <w:r w:rsidRPr="00D575BC">
        <w:rPr>
          <w:rFonts w:hint="cs"/>
          <w:sz w:val="24"/>
          <w:szCs w:val="24"/>
          <w:rtl/>
        </w:rPr>
        <w:t xml:space="preserve"> </w:t>
      </w:r>
      <w:r w:rsidRPr="00D575BC">
        <w:rPr>
          <w:sz w:val="24"/>
          <w:szCs w:val="24"/>
          <w:rtl/>
        </w:rPr>
        <w:t>محاسبه شد. این روش امکان مقایسه تغییرات بیان ژن</w:t>
      </w:r>
      <w:r w:rsidRPr="00D575BC">
        <w:rPr>
          <w:sz w:val="24"/>
          <w:szCs w:val="24"/>
        </w:rPr>
        <w:t xml:space="preserve"> CXCL1 </w:t>
      </w:r>
      <w:r w:rsidRPr="00D575BC">
        <w:rPr>
          <w:sz w:val="24"/>
          <w:szCs w:val="24"/>
          <w:rtl/>
        </w:rPr>
        <w:t>نسبت به ژن مرجع</w:t>
      </w:r>
      <w:r w:rsidRPr="00D575BC">
        <w:rPr>
          <w:sz w:val="24"/>
          <w:szCs w:val="24"/>
        </w:rPr>
        <w:t xml:space="preserve"> GAPDH </w:t>
      </w:r>
      <w:r w:rsidRPr="00D575BC">
        <w:rPr>
          <w:sz w:val="24"/>
          <w:szCs w:val="24"/>
          <w:rtl/>
        </w:rPr>
        <w:t>را در شرایط آزمایشی مختلف فراهم ساخت و نتایج به</w:t>
      </w:r>
      <w:r w:rsidRPr="00D575BC">
        <w:rPr>
          <w:rFonts w:hint="cs"/>
          <w:sz w:val="24"/>
          <w:szCs w:val="24"/>
          <w:rtl/>
        </w:rPr>
        <w:t xml:space="preserve"> </w:t>
      </w:r>
      <w:r w:rsidRPr="00D575BC">
        <w:rPr>
          <w:sz w:val="24"/>
          <w:szCs w:val="24"/>
          <w:rtl/>
        </w:rPr>
        <w:t>‌صورت میانگین سه تکرار مستقل گزارش گردید</w:t>
      </w:r>
      <w:r w:rsidRPr="00D575BC">
        <w:rPr>
          <w:rFonts w:hint="cs"/>
          <w:sz w:val="24"/>
          <w:szCs w:val="24"/>
          <w:rtl/>
        </w:rPr>
        <w:t>.</w:t>
      </w:r>
    </w:p>
    <w:p w14:paraId="5EA2F422" w14:textId="77777777" w:rsidR="00CF69B3" w:rsidRPr="00D575BC" w:rsidRDefault="00CF69B3" w:rsidP="00CF69B3">
      <w:pPr>
        <w:pStyle w:val="a0"/>
        <w:jc w:val="center"/>
        <w:rPr>
          <w:b/>
          <w:bCs/>
          <w:sz w:val="24"/>
          <w:szCs w:val="24"/>
        </w:rPr>
      </w:pPr>
      <w:bookmarkStart w:id="8" w:name="_Toc536107940"/>
      <w:bookmarkStart w:id="9" w:name="_Toc202482623"/>
      <w:bookmarkEnd w:id="6"/>
      <w:bookmarkEnd w:id="7"/>
      <w:r w:rsidRPr="00D575BC">
        <w:rPr>
          <w:rFonts w:hint="cs"/>
          <w:b/>
          <w:bCs/>
          <w:sz w:val="24"/>
          <w:szCs w:val="24"/>
          <w:rtl/>
        </w:rPr>
        <w:t>جدول</w:t>
      </w:r>
      <w:r w:rsidRPr="00D575BC">
        <w:rPr>
          <w:b/>
          <w:bCs/>
          <w:sz w:val="24"/>
          <w:szCs w:val="24"/>
        </w:rPr>
        <w:t xml:space="preserve"> </w:t>
      </w:r>
      <w:r w:rsidRPr="00D575BC">
        <w:rPr>
          <w:rFonts w:hint="cs"/>
          <w:b/>
          <w:bCs/>
          <w:sz w:val="24"/>
          <w:szCs w:val="24"/>
          <w:rtl/>
        </w:rPr>
        <w:t xml:space="preserve">1: توالی پرایمرهای استفاده شده در </w:t>
      </w:r>
      <w:r w:rsidRPr="00D575BC">
        <w:rPr>
          <w:b/>
          <w:bCs/>
          <w:sz w:val="24"/>
          <w:szCs w:val="24"/>
        </w:rPr>
        <w:t>Real time PCR</w:t>
      </w:r>
      <w:bookmarkEnd w:id="8"/>
      <w:bookmarkEnd w:id="9"/>
    </w:p>
    <w:tbl>
      <w:tblPr>
        <w:tblStyle w:val="TableGrid"/>
        <w:tblW w:w="81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0"/>
        <w:gridCol w:w="3976"/>
        <w:gridCol w:w="1965"/>
      </w:tblGrid>
      <w:tr w:rsidR="00CF69B3" w:rsidRPr="00D575BC" w14:paraId="216AA9B6" w14:textId="77777777" w:rsidTr="00187D58">
        <w:trPr>
          <w:trHeight w:val="315"/>
          <w:jc w:val="center"/>
        </w:trPr>
        <w:tc>
          <w:tcPr>
            <w:tcW w:w="2400" w:type="dxa"/>
            <w:tcBorders>
              <w:top w:val="single" w:sz="4" w:space="0" w:color="auto"/>
              <w:bottom w:val="single" w:sz="4" w:space="0" w:color="auto"/>
            </w:tcBorders>
            <w:shd w:val="clear" w:color="auto" w:fill="E7E6E6" w:themeFill="background2"/>
            <w:noWrap/>
            <w:hideMark/>
          </w:tcPr>
          <w:p w14:paraId="2C7CAA93" w14:textId="77777777" w:rsidR="00CF69B3" w:rsidRPr="00D575BC" w:rsidRDefault="00CF69B3" w:rsidP="00187D58">
            <w:pPr>
              <w:jc w:val="center"/>
              <w:rPr>
                <w:rFonts w:ascii="Times New Roman" w:eastAsia="Times New Roman" w:hAnsi="Times New Roman" w:cs="B Lotus"/>
                <w:b/>
                <w:bCs/>
                <w:sz w:val="24"/>
                <w:szCs w:val="24"/>
              </w:rPr>
            </w:pPr>
            <w:r w:rsidRPr="00D575BC">
              <w:rPr>
                <w:rFonts w:ascii="Times New Roman" w:eastAsia="Times New Roman" w:hAnsi="Times New Roman" w:cs="B Lotus"/>
                <w:b/>
                <w:bCs/>
                <w:sz w:val="24"/>
                <w:szCs w:val="24"/>
              </w:rPr>
              <w:t>Gene Name</w:t>
            </w:r>
          </w:p>
        </w:tc>
        <w:tc>
          <w:tcPr>
            <w:tcW w:w="3820" w:type="dxa"/>
            <w:tcBorders>
              <w:top w:val="single" w:sz="4" w:space="0" w:color="auto"/>
              <w:bottom w:val="single" w:sz="4" w:space="0" w:color="auto"/>
            </w:tcBorders>
            <w:shd w:val="clear" w:color="auto" w:fill="E7E6E6" w:themeFill="background2"/>
            <w:noWrap/>
            <w:hideMark/>
          </w:tcPr>
          <w:p w14:paraId="45A8844C" w14:textId="77777777" w:rsidR="00CF69B3" w:rsidRPr="00D575BC" w:rsidRDefault="00CF69B3" w:rsidP="00187D58">
            <w:pPr>
              <w:jc w:val="center"/>
              <w:rPr>
                <w:rFonts w:ascii="Times New Roman" w:eastAsia="Times New Roman" w:hAnsi="Times New Roman" w:cs="B Lotus"/>
                <w:b/>
                <w:bCs/>
                <w:sz w:val="24"/>
                <w:szCs w:val="24"/>
              </w:rPr>
            </w:pPr>
            <w:r w:rsidRPr="00D575BC">
              <w:rPr>
                <w:rFonts w:ascii="Times New Roman" w:eastAsia="Times New Roman" w:hAnsi="Times New Roman" w:cs="B Lotus"/>
                <w:b/>
                <w:bCs/>
                <w:sz w:val="24"/>
                <w:szCs w:val="24"/>
              </w:rPr>
              <w:t>Sequence</w:t>
            </w:r>
          </w:p>
        </w:tc>
        <w:tc>
          <w:tcPr>
            <w:tcW w:w="1965" w:type="dxa"/>
            <w:tcBorders>
              <w:top w:val="single" w:sz="4" w:space="0" w:color="auto"/>
              <w:bottom w:val="single" w:sz="4" w:space="0" w:color="auto"/>
            </w:tcBorders>
            <w:shd w:val="clear" w:color="auto" w:fill="E7E6E6" w:themeFill="background2"/>
            <w:noWrap/>
            <w:hideMark/>
          </w:tcPr>
          <w:p w14:paraId="6CE8289B" w14:textId="77777777" w:rsidR="00CF69B3" w:rsidRPr="00D575BC" w:rsidRDefault="00CF69B3" w:rsidP="00187D58">
            <w:pPr>
              <w:jc w:val="center"/>
              <w:rPr>
                <w:rFonts w:ascii="Times New Roman" w:eastAsia="Times New Roman" w:hAnsi="Times New Roman" w:cs="B Lotus"/>
                <w:b/>
                <w:bCs/>
                <w:sz w:val="24"/>
                <w:szCs w:val="24"/>
              </w:rPr>
            </w:pPr>
            <w:r w:rsidRPr="00D575BC">
              <w:rPr>
                <w:rFonts w:ascii="Times New Roman" w:eastAsia="Times New Roman" w:hAnsi="Times New Roman" w:cs="B Lotus"/>
                <w:b/>
                <w:bCs/>
                <w:sz w:val="24"/>
                <w:szCs w:val="24"/>
              </w:rPr>
              <w:t>Length (</w:t>
            </w:r>
            <w:proofErr w:type="spellStart"/>
            <w:r w:rsidRPr="00D575BC">
              <w:rPr>
                <w:rFonts w:ascii="Times New Roman" w:eastAsia="Times New Roman" w:hAnsi="Times New Roman" w:cs="B Lotus"/>
                <w:b/>
                <w:bCs/>
                <w:sz w:val="24"/>
                <w:szCs w:val="24"/>
              </w:rPr>
              <w:t>bp</w:t>
            </w:r>
            <w:proofErr w:type="spellEnd"/>
            <w:r w:rsidRPr="00D575BC">
              <w:rPr>
                <w:rFonts w:ascii="Times New Roman" w:eastAsia="Times New Roman" w:hAnsi="Times New Roman" w:cs="B Lotus"/>
                <w:b/>
                <w:bCs/>
                <w:sz w:val="24"/>
                <w:szCs w:val="24"/>
              </w:rPr>
              <w:t>)</w:t>
            </w:r>
          </w:p>
        </w:tc>
      </w:tr>
      <w:tr w:rsidR="00CF69B3" w:rsidRPr="00D575BC" w14:paraId="24A95996" w14:textId="77777777" w:rsidTr="00187D58">
        <w:trPr>
          <w:trHeight w:val="315"/>
          <w:jc w:val="center"/>
        </w:trPr>
        <w:tc>
          <w:tcPr>
            <w:tcW w:w="2400" w:type="dxa"/>
            <w:tcBorders>
              <w:top w:val="single" w:sz="4" w:space="0" w:color="auto"/>
            </w:tcBorders>
            <w:noWrap/>
            <w:hideMark/>
          </w:tcPr>
          <w:p w14:paraId="13FD7812" w14:textId="77777777" w:rsidR="00CF69B3" w:rsidRPr="00D575BC" w:rsidRDefault="00CF69B3" w:rsidP="00187D58">
            <w:pPr>
              <w:jc w:val="center"/>
              <w:rPr>
                <w:rFonts w:ascii="Times New Roman" w:eastAsia="Times New Roman" w:hAnsi="Times New Roman" w:cs="B Lotus"/>
                <w:sz w:val="24"/>
                <w:szCs w:val="24"/>
              </w:rPr>
            </w:pPr>
            <w:r w:rsidRPr="00D575BC">
              <w:rPr>
                <w:rFonts w:ascii="Times New Roman" w:eastAsia="Times New Roman" w:hAnsi="Times New Roman" w:cs="B Lotus"/>
                <w:sz w:val="24"/>
                <w:szCs w:val="24"/>
              </w:rPr>
              <w:t>GAPDH-rat-F</w:t>
            </w:r>
          </w:p>
        </w:tc>
        <w:tc>
          <w:tcPr>
            <w:tcW w:w="3820" w:type="dxa"/>
            <w:tcBorders>
              <w:top w:val="single" w:sz="4" w:space="0" w:color="auto"/>
            </w:tcBorders>
            <w:noWrap/>
            <w:hideMark/>
          </w:tcPr>
          <w:p w14:paraId="7DF412EB" w14:textId="77777777" w:rsidR="00CF69B3" w:rsidRPr="00D575BC" w:rsidRDefault="00CF69B3" w:rsidP="00187D58">
            <w:pPr>
              <w:jc w:val="center"/>
              <w:rPr>
                <w:rFonts w:ascii="Times New Roman" w:eastAsia="Times New Roman" w:hAnsi="Times New Roman" w:cs="B Lotus"/>
                <w:sz w:val="24"/>
                <w:szCs w:val="24"/>
              </w:rPr>
            </w:pPr>
            <w:r w:rsidRPr="00D575BC">
              <w:rPr>
                <w:rFonts w:ascii="Times New Roman" w:eastAsia="Times New Roman" w:hAnsi="Times New Roman" w:cs="B Lotus"/>
                <w:sz w:val="24"/>
                <w:szCs w:val="24"/>
              </w:rPr>
              <w:t>AGGTCGGTGTGAACGGATT</w:t>
            </w:r>
          </w:p>
        </w:tc>
        <w:tc>
          <w:tcPr>
            <w:tcW w:w="1965" w:type="dxa"/>
            <w:vMerge w:val="restart"/>
            <w:tcBorders>
              <w:top w:val="single" w:sz="4" w:space="0" w:color="auto"/>
            </w:tcBorders>
            <w:noWrap/>
            <w:hideMark/>
          </w:tcPr>
          <w:p w14:paraId="1786AD0C" w14:textId="77777777" w:rsidR="00CF69B3" w:rsidRPr="00D575BC" w:rsidRDefault="00CF69B3" w:rsidP="00187D58">
            <w:pPr>
              <w:jc w:val="center"/>
              <w:rPr>
                <w:rFonts w:ascii="Times New Roman" w:eastAsia="Times New Roman" w:hAnsi="Times New Roman" w:cs="B Lotus"/>
                <w:sz w:val="24"/>
                <w:szCs w:val="24"/>
              </w:rPr>
            </w:pPr>
            <w:r w:rsidRPr="00D575BC">
              <w:rPr>
                <w:rFonts w:ascii="Times New Roman" w:eastAsia="Times New Roman" w:hAnsi="Times New Roman" w:cs="B Lotus"/>
                <w:sz w:val="24"/>
                <w:szCs w:val="24"/>
              </w:rPr>
              <w:t>130</w:t>
            </w:r>
          </w:p>
        </w:tc>
      </w:tr>
      <w:tr w:rsidR="00CF69B3" w:rsidRPr="00D575BC" w14:paraId="095C591A" w14:textId="77777777" w:rsidTr="00187D58">
        <w:trPr>
          <w:trHeight w:val="315"/>
          <w:jc w:val="center"/>
        </w:trPr>
        <w:tc>
          <w:tcPr>
            <w:tcW w:w="2400" w:type="dxa"/>
            <w:noWrap/>
            <w:hideMark/>
          </w:tcPr>
          <w:p w14:paraId="0FDE9A20" w14:textId="77777777" w:rsidR="00CF69B3" w:rsidRPr="00D575BC" w:rsidRDefault="00CF69B3" w:rsidP="00187D58">
            <w:pPr>
              <w:jc w:val="center"/>
              <w:rPr>
                <w:rFonts w:ascii="Times New Roman" w:eastAsia="Times New Roman" w:hAnsi="Times New Roman" w:cs="B Lotus"/>
                <w:sz w:val="24"/>
                <w:szCs w:val="24"/>
              </w:rPr>
            </w:pPr>
            <w:r w:rsidRPr="00D575BC">
              <w:rPr>
                <w:rFonts w:ascii="Times New Roman" w:eastAsia="Times New Roman" w:hAnsi="Times New Roman" w:cs="B Lotus"/>
                <w:sz w:val="24"/>
                <w:szCs w:val="24"/>
              </w:rPr>
              <w:t>GAPDH-rat-R</w:t>
            </w:r>
          </w:p>
        </w:tc>
        <w:tc>
          <w:tcPr>
            <w:tcW w:w="3820" w:type="dxa"/>
            <w:noWrap/>
            <w:hideMark/>
          </w:tcPr>
          <w:p w14:paraId="69CB6DCD" w14:textId="77777777" w:rsidR="00CF69B3" w:rsidRPr="00D575BC" w:rsidRDefault="00CF69B3" w:rsidP="00187D58">
            <w:pPr>
              <w:jc w:val="both"/>
              <w:rPr>
                <w:rFonts w:ascii="Times New Roman" w:eastAsia="Times New Roman" w:hAnsi="Times New Roman" w:cs="B Lotus"/>
                <w:sz w:val="24"/>
                <w:szCs w:val="24"/>
              </w:rPr>
            </w:pPr>
            <w:r w:rsidRPr="00D575BC">
              <w:rPr>
                <w:rFonts w:ascii="Times New Roman" w:eastAsia="Times New Roman" w:hAnsi="Times New Roman" w:cs="B Lotus"/>
                <w:sz w:val="24"/>
                <w:szCs w:val="24"/>
              </w:rPr>
              <w:t>TGTAGACCATGTAGTTGAGGTCA</w:t>
            </w:r>
          </w:p>
        </w:tc>
        <w:tc>
          <w:tcPr>
            <w:tcW w:w="1965" w:type="dxa"/>
            <w:vMerge/>
          </w:tcPr>
          <w:p w14:paraId="3C4049CF" w14:textId="77777777" w:rsidR="00CF69B3" w:rsidRPr="00D575BC" w:rsidRDefault="00CF69B3" w:rsidP="00187D58">
            <w:pPr>
              <w:jc w:val="center"/>
              <w:rPr>
                <w:rFonts w:ascii="Times New Roman" w:eastAsia="Times New Roman" w:hAnsi="Times New Roman" w:cs="B Lotus"/>
                <w:sz w:val="24"/>
                <w:szCs w:val="24"/>
              </w:rPr>
            </w:pPr>
          </w:p>
        </w:tc>
      </w:tr>
      <w:tr w:rsidR="00CF69B3" w:rsidRPr="00D575BC" w14:paraId="1F872CFE" w14:textId="77777777" w:rsidTr="00187D58">
        <w:trPr>
          <w:trHeight w:val="315"/>
          <w:jc w:val="center"/>
        </w:trPr>
        <w:tc>
          <w:tcPr>
            <w:tcW w:w="2400" w:type="dxa"/>
            <w:noWrap/>
            <w:hideMark/>
          </w:tcPr>
          <w:p w14:paraId="36D2F830" w14:textId="77777777" w:rsidR="00CF69B3" w:rsidRPr="00D575BC" w:rsidRDefault="00CF69B3" w:rsidP="00187D58">
            <w:pPr>
              <w:jc w:val="center"/>
              <w:rPr>
                <w:rFonts w:ascii="Times New Roman" w:eastAsia="Times New Roman" w:hAnsi="Times New Roman" w:cs="B Lotus"/>
                <w:sz w:val="24"/>
                <w:szCs w:val="24"/>
              </w:rPr>
            </w:pPr>
            <w:r w:rsidRPr="00D575BC">
              <w:rPr>
                <w:rFonts w:ascii="Times New Roman" w:eastAsia="Calibri" w:hAnsi="Times New Roman" w:cs="B Lotus"/>
                <w:color w:val="000000"/>
                <w:sz w:val="24"/>
                <w:szCs w:val="24"/>
                <w:lang w:val="x-none" w:eastAsia="x-none"/>
              </w:rPr>
              <w:lastRenderedPageBreak/>
              <w:t>CXCL1</w:t>
            </w:r>
            <w:r w:rsidRPr="00D575BC">
              <w:rPr>
                <w:rFonts w:ascii="Times New Roman" w:eastAsia="Times New Roman" w:hAnsi="Times New Roman" w:cs="B Lotus"/>
                <w:sz w:val="24"/>
                <w:szCs w:val="24"/>
              </w:rPr>
              <w:t>-rat-F</w:t>
            </w:r>
          </w:p>
        </w:tc>
        <w:tc>
          <w:tcPr>
            <w:tcW w:w="3820" w:type="dxa"/>
            <w:noWrap/>
            <w:hideMark/>
          </w:tcPr>
          <w:p w14:paraId="568816B0" w14:textId="77777777" w:rsidR="00CF69B3" w:rsidRPr="00D575BC" w:rsidRDefault="00CF69B3" w:rsidP="00187D58">
            <w:pPr>
              <w:jc w:val="center"/>
              <w:rPr>
                <w:rFonts w:ascii="Times New Roman" w:eastAsia="Times New Roman" w:hAnsi="Times New Roman" w:cs="B Lotus"/>
                <w:sz w:val="24"/>
                <w:szCs w:val="24"/>
              </w:rPr>
            </w:pPr>
            <w:r w:rsidRPr="00D575BC">
              <w:rPr>
                <w:rFonts w:ascii="Times New Roman" w:eastAsia="Times New Roman" w:hAnsi="Times New Roman" w:cs="B Lotus"/>
                <w:sz w:val="24"/>
                <w:szCs w:val="24"/>
              </w:rPr>
              <w:t>TGAGAGTGGCCCACACTTCA</w:t>
            </w:r>
          </w:p>
        </w:tc>
        <w:tc>
          <w:tcPr>
            <w:tcW w:w="1965" w:type="dxa"/>
            <w:vMerge w:val="restart"/>
            <w:noWrap/>
            <w:hideMark/>
          </w:tcPr>
          <w:p w14:paraId="3DDB4231" w14:textId="77777777" w:rsidR="00CF69B3" w:rsidRPr="00D575BC" w:rsidRDefault="00CF69B3" w:rsidP="00187D58">
            <w:pPr>
              <w:jc w:val="center"/>
              <w:rPr>
                <w:rFonts w:ascii="Times New Roman" w:eastAsia="Times New Roman" w:hAnsi="Times New Roman" w:cs="B Lotus"/>
                <w:sz w:val="24"/>
                <w:szCs w:val="24"/>
              </w:rPr>
            </w:pPr>
            <w:r w:rsidRPr="00D575BC">
              <w:rPr>
                <w:rFonts w:ascii="Times New Roman" w:eastAsia="Times New Roman" w:hAnsi="Times New Roman" w:cs="B Lotus"/>
                <w:sz w:val="24"/>
                <w:szCs w:val="24"/>
              </w:rPr>
              <w:t>144</w:t>
            </w:r>
          </w:p>
        </w:tc>
      </w:tr>
      <w:tr w:rsidR="00CF69B3" w:rsidRPr="00D575BC" w14:paraId="5E0D103B" w14:textId="77777777" w:rsidTr="00187D58">
        <w:trPr>
          <w:trHeight w:val="315"/>
          <w:jc w:val="center"/>
        </w:trPr>
        <w:tc>
          <w:tcPr>
            <w:tcW w:w="2400" w:type="dxa"/>
            <w:tcBorders>
              <w:bottom w:val="single" w:sz="4" w:space="0" w:color="auto"/>
            </w:tcBorders>
            <w:noWrap/>
            <w:hideMark/>
          </w:tcPr>
          <w:p w14:paraId="1FD5C1ED" w14:textId="77777777" w:rsidR="00CF69B3" w:rsidRPr="00D575BC" w:rsidRDefault="00CF69B3" w:rsidP="00187D58">
            <w:pPr>
              <w:jc w:val="center"/>
              <w:rPr>
                <w:rFonts w:ascii="Times New Roman" w:eastAsia="Times New Roman" w:hAnsi="Times New Roman" w:cs="B Lotus"/>
                <w:sz w:val="24"/>
                <w:szCs w:val="24"/>
              </w:rPr>
            </w:pPr>
            <w:r w:rsidRPr="00D575BC">
              <w:rPr>
                <w:rFonts w:ascii="Times New Roman" w:eastAsia="Calibri" w:hAnsi="Times New Roman" w:cs="B Lotus"/>
                <w:color w:val="000000"/>
                <w:sz w:val="24"/>
                <w:szCs w:val="24"/>
                <w:lang w:val="x-none" w:eastAsia="x-none"/>
              </w:rPr>
              <w:t>CXCL1</w:t>
            </w:r>
            <w:r w:rsidRPr="00D575BC">
              <w:rPr>
                <w:rFonts w:ascii="Times New Roman" w:eastAsia="Times New Roman" w:hAnsi="Times New Roman" w:cs="B Lotus"/>
                <w:sz w:val="24"/>
                <w:szCs w:val="24"/>
              </w:rPr>
              <w:t>-rat-R</w:t>
            </w:r>
          </w:p>
        </w:tc>
        <w:tc>
          <w:tcPr>
            <w:tcW w:w="3820" w:type="dxa"/>
            <w:tcBorders>
              <w:bottom w:val="single" w:sz="4" w:space="0" w:color="auto"/>
            </w:tcBorders>
            <w:noWrap/>
            <w:hideMark/>
          </w:tcPr>
          <w:p w14:paraId="667D56AB" w14:textId="77777777" w:rsidR="00CF69B3" w:rsidRPr="00D575BC" w:rsidRDefault="00CF69B3" w:rsidP="00187D58">
            <w:pPr>
              <w:jc w:val="center"/>
              <w:rPr>
                <w:rFonts w:ascii="Times New Roman" w:eastAsia="Times New Roman" w:hAnsi="Times New Roman" w:cs="B Lotus"/>
                <w:sz w:val="24"/>
                <w:szCs w:val="24"/>
              </w:rPr>
            </w:pPr>
            <w:r w:rsidRPr="00D575BC">
              <w:rPr>
                <w:rFonts w:ascii="Times New Roman" w:eastAsia="Times New Roman" w:hAnsi="Times New Roman" w:cs="B Lotus"/>
                <w:sz w:val="24"/>
                <w:szCs w:val="24"/>
              </w:rPr>
              <w:t>AGCAGACTAGGGAGTGAGAGAC</w:t>
            </w:r>
          </w:p>
        </w:tc>
        <w:tc>
          <w:tcPr>
            <w:tcW w:w="1965" w:type="dxa"/>
            <w:vMerge/>
            <w:noWrap/>
            <w:hideMark/>
          </w:tcPr>
          <w:p w14:paraId="7172D973" w14:textId="77777777" w:rsidR="00CF69B3" w:rsidRPr="00D575BC" w:rsidRDefault="00CF69B3" w:rsidP="00187D58">
            <w:pPr>
              <w:jc w:val="center"/>
              <w:rPr>
                <w:rFonts w:ascii="Times New Roman" w:eastAsia="Times New Roman" w:hAnsi="Times New Roman" w:cs="B Lotus"/>
                <w:sz w:val="24"/>
                <w:szCs w:val="24"/>
              </w:rPr>
            </w:pPr>
          </w:p>
        </w:tc>
      </w:tr>
    </w:tbl>
    <w:p w14:paraId="36348039" w14:textId="77777777" w:rsidR="00CF69B3" w:rsidRPr="00D575BC" w:rsidRDefault="00CF69B3" w:rsidP="00CF69B3">
      <w:pPr>
        <w:pStyle w:val="a0"/>
        <w:spacing w:after="0"/>
        <w:rPr>
          <w:sz w:val="24"/>
          <w:szCs w:val="24"/>
          <w:rtl/>
          <w:lang w:val="en-GB"/>
        </w:rPr>
      </w:pPr>
    </w:p>
    <w:p w14:paraId="1727EDEA" w14:textId="77777777" w:rsidR="00CF69B3" w:rsidRPr="00D575BC" w:rsidRDefault="00CF69B3" w:rsidP="00CF69B3">
      <w:pPr>
        <w:pStyle w:val="3"/>
        <w:spacing w:after="0"/>
        <w:rPr>
          <w:sz w:val="24"/>
          <w:szCs w:val="24"/>
        </w:rPr>
      </w:pPr>
      <w:bookmarkStart w:id="10" w:name="_Toc498532423"/>
      <w:bookmarkStart w:id="11" w:name="_Toc500227431"/>
      <w:bookmarkStart w:id="12" w:name="_Toc500227524"/>
      <w:bookmarkStart w:id="13" w:name="_Toc523666907"/>
      <w:bookmarkStart w:id="14" w:name="_Toc523667050"/>
      <w:bookmarkStart w:id="15" w:name="_Toc523667182"/>
      <w:bookmarkStart w:id="16" w:name="_Toc523667314"/>
      <w:bookmarkStart w:id="17" w:name="_Toc136698621"/>
      <w:bookmarkStart w:id="18" w:name="_Toc142259830"/>
      <w:bookmarkStart w:id="19" w:name="_Toc202482585"/>
      <w:r w:rsidRPr="00D575BC">
        <w:rPr>
          <w:rFonts w:hint="cs"/>
          <w:sz w:val="24"/>
          <w:szCs w:val="24"/>
          <w:rtl/>
        </w:rPr>
        <w:t>تحلیل آماری داده</w:t>
      </w:r>
      <w:r w:rsidRPr="00D575BC">
        <w:rPr>
          <w:rFonts w:hint="cs"/>
          <w:sz w:val="24"/>
          <w:szCs w:val="24"/>
          <w:rtl/>
          <w:cs/>
        </w:rPr>
        <w:t>‎</w:t>
      </w:r>
      <w:r w:rsidRPr="00D575BC">
        <w:rPr>
          <w:rFonts w:hint="cs"/>
          <w:sz w:val="24"/>
          <w:szCs w:val="24"/>
          <w:rtl/>
        </w:rPr>
        <w:t>ها</w:t>
      </w:r>
      <w:bookmarkEnd w:id="10"/>
      <w:bookmarkEnd w:id="11"/>
      <w:bookmarkEnd w:id="12"/>
      <w:bookmarkEnd w:id="13"/>
      <w:bookmarkEnd w:id="14"/>
      <w:bookmarkEnd w:id="15"/>
      <w:bookmarkEnd w:id="16"/>
      <w:bookmarkEnd w:id="17"/>
      <w:bookmarkEnd w:id="18"/>
      <w:bookmarkEnd w:id="19"/>
    </w:p>
    <w:p w14:paraId="71DEF05D" w14:textId="77777777" w:rsidR="00CF69B3" w:rsidRPr="00D575BC" w:rsidRDefault="00CF69B3" w:rsidP="00CF69B3">
      <w:pPr>
        <w:pStyle w:val="a0"/>
        <w:rPr>
          <w:sz w:val="24"/>
          <w:szCs w:val="24"/>
          <w:rtl/>
        </w:rPr>
      </w:pPr>
      <w:r w:rsidRPr="00D575BC">
        <w:rPr>
          <w:sz w:val="24"/>
          <w:szCs w:val="24"/>
          <w:rtl/>
        </w:rPr>
        <w:t>کل</w:t>
      </w:r>
      <w:r w:rsidRPr="00D575BC">
        <w:rPr>
          <w:rFonts w:hint="cs"/>
          <w:sz w:val="24"/>
          <w:szCs w:val="24"/>
          <w:rtl/>
        </w:rPr>
        <w:t>ی</w:t>
      </w:r>
      <w:r w:rsidRPr="00D575BC">
        <w:rPr>
          <w:rFonts w:hint="eastAsia"/>
          <w:sz w:val="24"/>
          <w:szCs w:val="24"/>
          <w:rtl/>
        </w:rPr>
        <w:t>ه</w:t>
      </w:r>
      <w:r w:rsidRPr="00D575BC">
        <w:rPr>
          <w:sz w:val="24"/>
          <w:szCs w:val="24"/>
          <w:rtl/>
        </w:rPr>
        <w:t xml:space="preserve"> داده‌ها</w:t>
      </w:r>
      <w:r w:rsidRPr="00D575BC">
        <w:rPr>
          <w:rFonts w:hint="cs"/>
          <w:sz w:val="24"/>
          <w:szCs w:val="24"/>
          <w:rtl/>
        </w:rPr>
        <w:t>ی</w:t>
      </w:r>
      <w:r w:rsidRPr="00D575BC">
        <w:rPr>
          <w:sz w:val="24"/>
          <w:szCs w:val="24"/>
          <w:rtl/>
        </w:rPr>
        <w:t xml:space="preserve"> حاصل از آزما</w:t>
      </w:r>
      <w:r w:rsidRPr="00D575BC">
        <w:rPr>
          <w:rFonts w:hint="cs"/>
          <w:sz w:val="24"/>
          <w:szCs w:val="24"/>
          <w:rtl/>
        </w:rPr>
        <w:t>ی</w:t>
      </w:r>
      <w:r w:rsidRPr="00D575BC">
        <w:rPr>
          <w:rFonts w:hint="eastAsia"/>
          <w:sz w:val="24"/>
          <w:szCs w:val="24"/>
          <w:rtl/>
        </w:rPr>
        <w:t>ش‌ها</w:t>
      </w:r>
      <w:r w:rsidRPr="00D575BC">
        <w:rPr>
          <w:sz w:val="24"/>
          <w:szCs w:val="24"/>
          <w:rtl/>
        </w:rPr>
        <w:t xml:space="preserve"> با استفاده از نرم‌افزار </w:t>
      </w:r>
      <w:proofErr w:type="spellStart"/>
      <w:r w:rsidRPr="00D575BC">
        <w:rPr>
          <w:sz w:val="24"/>
          <w:szCs w:val="24"/>
        </w:rPr>
        <w:t>GraphPad</w:t>
      </w:r>
      <w:proofErr w:type="spellEnd"/>
      <w:r w:rsidRPr="00D575BC">
        <w:rPr>
          <w:sz w:val="24"/>
          <w:szCs w:val="24"/>
        </w:rPr>
        <w:t xml:space="preserve"> Prism</w:t>
      </w:r>
      <w:r w:rsidRPr="00D575BC">
        <w:rPr>
          <w:sz w:val="24"/>
          <w:szCs w:val="24"/>
          <w:rtl/>
        </w:rPr>
        <w:t xml:space="preserve"> مورد تحل</w:t>
      </w:r>
      <w:r w:rsidRPr="00D575BC">
        <w:rPr>
          <w:rFonts w:hint="cs"/>
          <w:sz w:val="24"/>
          <w:szCs w:val="24"/>
          <w:rtl/>
        </w:rPr>
        <w:t>ی</w:t>
      </w:r>
      <w:r w:rsidRPr="00D575BC">
        <w:rPr>
          <w:rFonts w:hint="eastAsia"/>
          <w:sz w:val="24"/>
          <w:szCs w:val="24"/>
          <w:rtl/>
        </w:rPr>
        <w:t>ل</w:t>
      </w:r>
      <w:r w:rsidRPr="00D575BC">
        <w:rPr>
          <w:sz w:val="24"/>
          <w:szCs w:val="24"/>
          <w:rtl/>
        </w:rPr>
        <w:t xml:space="preserve"> آمار</w:t>
      </w:r>
      <w:r w:rsidRPr="00D575BC">
        <w:rPr>
          <w:rFonts w:hint="cs"/>
          <w:sz w:val="24"/>
          <w:szCs w:val="24"/>
          <w:rtl/>
        </w:rPr>
        <w:t>ی</w:t>
      </w:r>
      <w:r w:rsidRPr="00D575BC">
        <w:rPr>
          <w:sz w:val="24"/>
          <w:szCs w:val="24"/>
          <w:rtl/>
        </w:rPr>
        <w:t xml:space="preserve"> قرار گرفتند. برا</w:t>
      </w:r>
      <w:r w:rsidRPr="00D575BC">
        <w:rPr>
          <w:rFonts w:hint="cs"/>
          <w:sz w:val="24"/>
          <w:szCs w:val="24"/>
          <w:rtl/>
        </w:rPr>
        <w:t>ی</w:t>
      </w:r>
      <w:r w:rsidRPr="00D575BC">
        <w:rPr>
          <w:sz w:val="24"/>
          <w:szCs w:val="24"/>
          <w:rtl/>
        </w:rPr>
        <w:t xml:space="preserve"> مقا</w:t>
      </w:r>
      <w:r w:rsidRPr="00D575BC">
        <w:rPr>
          <w:rFonts w:hint="cs"/>
          <w:sz w:val="24"/>
          <w:szCs w:val="24"/>
          <w:rtl/>
        </w:rPr>
        <w:t>ی</w:t>
      </w:r>
      <w:r w:rsidRPr="00D575BC">
        <w:rPr>
          <w:rFonts w:hint="eastAsia"/>
          <w:sz w:val="24"/>
          <w:szCs w:val="24"/>
          <w:rtl/>
        </w:rPr>
        <w:t>سه</w:t>
      </w:r>
      <w:r w:rsidRPr="00D575BC">
        <w:rPr>
          <w:sz w:val="24"/>
          <w:szCs w:val="24"/>
          <w:rtl/>
        </w:rPr>
        <w:t xml:space="preserve"> گروه‌ها، از آزمون آنال</w:t>
      </w:r>
      <w:r w:rsidRPr="00D575BC">
        <w:rPr>
          <w:rFonts w:hint="cs"/>
          <w:sz w:val="24"/>
          <w:szCs w:val="24"/>
          <w:rtl/>
        </w:rPr>
        <w:t>ی</w:t>
      </w:r>
      <w:r w:rsidRPr="00D575BC">
        <w:rPr>
          <w:rFonts w:hint="eastAsia"/>
          <w:sz w:val="24"/>
          <w:szCs w:val="24"/>
          <w:rtl/>
        </w:rPr>
        <w:t>ز</w:t>
      </w:r>
      <w:r w:rsidRPr="00D575BC">
        <w:rPr>
          <w:sz w:val="24"/>
          <w:szCs w:val="24"/>
          <w:rtl/>
        </w:rPr>
        <w:t xml:space="preserve"> وار</w:t>
      </w:r>
      <w:r w:rsidRPr="00D575BC">
        <w:rPr>
          <w:rFonts w:hint="cs"/>
          <w:sz w:val="24"/>
          <w:szCs w:val="24"/>
          <w:rtl/>
        </w:rPr>
        <w:t>ی</w:t>
      </w:r>
      <w:r w:rsidRPr="00D575BC">
        <w:rPr>
          <w:rFonts w:hint="eastAsia"/>
          <w:sz w:val="24"/>
          <w:szCs w:val="24"/>
          <w:rtl/>
        </w:rPr>
        <w:t>انس</w:t>
      </w:r>
      <w:r w:rsidRPr="00D575BC">
        <w:rPr>
          <w:sz w:val="24"/>
          <w:szCs w:val="24"/>
          <w:rtl/>
        </w:rPr>
        <w:t xml:space="preserve"> </w:t>
      </w:r>
      <w:r w:rsidRPr="00D575BC">
        <w:rPr>
          <w:rFonts w:hint="cs"/>
          <w:sz w:val="24"/>
          <w:szCs w:val="24"/>
          <w:rtl/>
        </w:rPr>
        <w:t>ی</w:t>
      </w:r>
      <w:r w:rsidRPr="00D575BC">
        <w:rPr>
          <w:rFonts w:hint="eastAsia"/>
          <w:sz w:val="24"/>
          <w:szCs w:val="24"/>
          <w:rtl/>
        </w:rPr>
        <w:t>ک‌طرفه</w:t>
      </w:r>
      <w:r w:rsidRPr="00D575BC">
        <w:rPr>
          <w:sz w:val="24"/>
          <w:szCs w:val="24"/>
          <w:rtl/>
        </w:rPr>
        <w:t xml:space="preserve"> (</w:t>
      </w:r>
      <w:r w:rsidRPr="00D575BC">
        <w:rPr>
          <w:sz w:val="24"/>
          <w:szCs w:val="24"/>
        </w:rPr>
        <w:t>One-way ANOVA</w:t>
      </w:r>
      <w:r w:rsidRPr="00D575BC">
        <w:rPr>
          <w:sz w:val="24"/>
          <w:szCs w:val="24"/>
          <w:rtl/>
        </w:rPr>
        <w:t>) استفاده شد و در صورت مشاهده اختلاف معن</w:t>
      </w:r>
      <w:r w:rsidRPr="00D575BC">
        <w:rPr>
          <w:rFonts w:hint="cs"/>
          <w:sz w:val="24"/>
          <w:szCs w:val="24"/>
          <w:rtl/>
        </w:rPr>
        <w:t>ی‌</w:t>
      </w:r>
      <w:r w:rsidRPr="00D575BC">
        <w:rPr>
          <w:rFonts w:hint="eastAsia"/>
          <w:sz w:val="24"/>
          <w:szCs w:val="24"/>
          <w:rtl/>
        </w:rPr>
        <w:t>دار،</w:t>
      </w:r>
      <w:r w:rsidRPr="00D575BC">
        <w:rPr>
          <w:sz w:val="24"/>
          <w:szCs w:val="24"/>
          <w:rtl/>
        </w:rPr>
        <w:t xml:space="preserve"> آزمون </w:t>
      </w:r>
      <w:r w:rsidRPr="00D575BC">
        <w:rPr>
          <w:sz w:val="24"/>
          <w:szCs w:val="24"/>
        </w:rPr>
        <w:t>Tukey’s post hoc</w:t>
      </w:r>
      <w:r w:rsidRPr="00D575BC">
        <w:rPr>
          <w:sz w:val="24"/>
          <w:szCs w:val="24"/>
          <w:rtl/>
        </w:rPr>
        <w:t xml:space="preserve"> به‌</w:t>
      </w:r>
      <w:r w:rsidRPr="00D575BC">
        <w:rPr>
          <w:rFonts w:hint="cs"/>
          <w:sz w:val="24"/>
          <w:szCs w:val="24"/>
          <w:rtl/>
        </w:rPr>
        <w:t xml:space="preserve"> </w:t>
      </w:r>
      <w:r w:rsidRPr="00D575BC">
        <w:rPr>
          <w:sz w:val="24"/>
          <w:szCs w:val="24"/>
          <w:rtl/>
        </w:rPr>
        <w:t>منظور تع</w:t>
      </w:r>
      <w:r w:rsidRPr="00D575BC">
        <w:rPr>
          <w:rFonts w:hint="cs"/>
          <w:sz w:val="24"/>
          <w:szCs w:val="24"/>
          <w:rtl/>
        </w:rPr>
        <w:t>یی</w:t>
      </w:r>
      <w:r w:rsidRPr="00D575BC">
        <w:rPr>
          <w:rFonts w:hint="eastAsia"/>
          <w:sz w:val="24"/>
          <w:szCs w:val="24"/>
          <w:rtl/>
        </w:rPr>
        <w:t>ن</w:t>
      </w:r>
      <w:r w:rsidRPr="00D575BC">
        <w:rPr>
          <w:sz w:val="24"/>
          <w:szCs w:val="24"/>
          <w:rtl/>
        </w:rPr>
        <w:t xml:space="preserve"> تفا</w:t>
      </w:r>
      <w:r w:rsidRPr="00D575BC">
        <w:rPr>
          <w:rFonts w:hint="eastAsia"/>
          <w:sz w:val="24"/>
          <w:szCs w:val="24"/>
          <w:rtl/>
        </w:rPr>
        <w:t>وت‌ها</w:t>
      </w:r>
      <w:r w:rsidRPr="00D575BC">
        <w:rPr>
          <w:rFonts w:hint="cs"/>
          <w:sz w:val="24"/>
          <w:szCs w:val="24"/>
          <w:rtl/>
        </w:rPr>
        <w:t>ی</w:t>
      </w:r>
      <w:r w:rsidRPr="00D575BC">
        <w:rPr>
          <w:sz w:val="24"/>
          <w:szCs w:val="24"/>
          <w:rtl/>
        </w:rPr>
        <w:t xml:space="preserve"> ب</w:t>
      </w:r>
      <w:r w:rsidRPr="00D575BC">
        <w:rPr>
          <w:rFonts w:hint="cs"/>
          <w:sz w:val="24"/>
          <w:szCs w:val="24"/>
          <w:rtl/>
        </w:rPr>
        <w:t>ی</w:t>
      </w:r>
      <w:r w:rsidRPr="00D575BC">
        <w:rPr>
          <w:rFonts w:hint="eastAsia"/>
          <w:sz w:val="24"/>
          <w:szCs w:val="24"/>
          <w:rtl/>
        </w:rPr>
        <w:t>ن‌گروه</w:t>
      </w:r>
      <w:r w:rsidRPr="00D575BC">
        <w:rPr>
          <w:rFonts w:hint="cs"/>
          <w:sz w:val="24"/>
          <w:szCs w:val="24"/>
          <w:rtl/>
        </w:rPr>
        <w:t>ی</w:t>
      </w:r>
      <w:r w:rsidRPr="00D575BC">
        <w:rPr>
          <w:sz w:val="24"/>
          <w:szCs w:val="24"/>
          <w:rtl/>
        </w:rPr>
        <w:t xml:space="preserve"> به کار گرفته شد. نتا</w:t>
      </w:r>
      <w:r w:rsidRPr="00D575BC">
        <w:rPr>
          <w:rFonts w:hint="cs"/>
          <w:sz w:val="24"/>
          <w:szCs w:val="24"/>
          <w:rtl/>
        </w:rPr>
        <w:t>ی</w:t>
      </w:r>
      <w:r w:rsidRPr="00D575BC">
        <w:rPr>
          <w:rFonts w:hint="eastAsia"/>
          <w:sz w:val="24"/>
          <w:szCs w:val="24"/>
          <w:rtl/>
        </w:rPr>
        <w:t>ج</w:t>
      </w:r>
      <w:r w:rsidRPr="00D575BC">
        <w:rPr>
          <w:sz w:val="24"/>
          <w:szCs w:val="24"/>
          <w:rtl/>
        </w:rPr>
        <w:t xml:space="preserve"> به‌صورت م</w:t>
      </w:r>
      <w:r w:rsidRPr="00D575BC">
        <w:rPr>
          <w:rFonts w:hint="cs"/>
          <w:sz w:val="24"/>
          <w:szCs w:val="24"/>
          <w:rtl/>
        </w:rPr>
        <w:t>ی</w:t>
      </w:r>
      <w:r w:rsidRPr="00D575BC">
        <w:rPr>
          <w:rFonts w:hint="eastAsia"/>
          <w:sz w:val="24"/>
          <w:szCs w:val="24"/>
          <w:rtl/>
        </w:rPr>
        <w:t>انگ</w:t>
      </w:r>
      <w:r w:rsidRPr="00D575BC">
        <w:rPr>
          <w:rFonts w:hint="cs"/>
          <w:sz w:val="24"/>
          <w:szCs w:val="24"/>
          <w:rtl/>
        </w:rPr>
        <w:t>ی</w:t>
      </w:r>
      <w:r w:rsidRPr="00D575BC">
        <w:rPr>
          <w:rFonts w:hint="eastAsia"/>
          <w:sz w:val="24"/>
          <w:szCs w:val="24"/>
          <w:rtl/>
        </w:rPr>
        <w:t>ن</w:t>
      </w:r>
      <w:r w:rsidRPr="00D575BC">
        <w:rPr>
          <w:sz w:val="24"/>
          <w:szCs w:val="24"/>
          <w:rtl/>
        </w:rPr>
        <w:t xml:space="preserve"> </w:t>
      </w:r>
      <w:r w:rsidRPr="00D575BC">
        <w:rPr>
          <w:rFonts w:ascii="Cambria" w:hAnsi="Cambria" w:cs="Cambria" w:hint="cs"/>
          <w:sz w:val="24"/>
          <w:szCs w:val="24"/>
          <w:rtl/>
        </w:rPr>
        <w:t>±</w:t>
      </w:r>
      <w:r w:rsidRPr="00D575BC">
        <w:rPr>
          <w:sz w:val="24"/>
          <w:szCs w:val="24"/>
          <w:rtl/>
        </w:rPr>
        <w:t xml:space="preserve"> </w:t>
      </w:r>
      <w:r w:rsidRPr="00D575BC">
        <w:rPr>
          <w:rFonts w:hint="cs"/>
          <w:sz w:val="24"/>
          <w:szCs w:val="24"/>
          <w:rtl/>
        </w:rPr>
        <w:t>خطای</w:t>
      </w:r>
      <w:r w:rsidRPr="00D575BC">
        <w:rPr>
          <w:sz w:val="24"/>
          <w:szCs w:val="24"/>
          <w:rtl/>
        </w:rPr>
        <w:t xml:space="preserve"> استاندارد م</w:t>
      </w:r>
      <w:r w:rsidRPr="00D575BC">
        <w:rPr>
          <w:rFonts w:hint="cs"/>
          <w:sz w:val="24"/>
          <w:szCs w:val="24"/>
          <w:rtl/>
        </w:rPr>
        <w:t>ی</w:t>
      </w:r>
      <w:r w:rsidRPr="00D575BC">
        <w:rPr>
          <w:rFonts w:hint="eastAsia"/>
          <w:sz w:val="24"/>
          <w:szCs w:val="24"/>
          <w:rtl/>
        </w:rPr>
        <w:t>انگ</w:t>
      </w:r>
      <w:r w:rsidRPr="00D575BC">
        <w:rPr>
          <w:rFonts w:hint="cs"/>
          <w:sz w:val="24"/>
          <w:szCs w:val="24"/>
          <w:rtl/>
        </w:rPr>
        <w:t>ی</w:t>
      </w:r>
      <w:r w:rsidRPr="00D575BC">
        <w:rPr>
          <w:rFonts w:hint="eastAsia"/>
          <w:sz w:val="24"/>
          <w:szCs w:val="24"/>
          <w:rtl/>
        </w:rPr>
        <w:t>ن</w:t>
      </w:r>
      <w:r w:rsidRPr="00D575BC">
        <w:rPr>
          <w:sz w:val="24"/>
          <w:szCs w:val="24"/>
          <w:rtl/>
        </w:rPr>
        <w:t xml:space="preserve"> (</w:t>
      </w:r>
      <w:r w:rsidRPr="00D575BC">
        <w:rPr>
          <w:sz w:val="24"/>
          <w:szCs w:val="24"/>
        </w:rPr>
        <w:t>Mean ± SEM</w:t>
      </w:r>
      <w:r w:rsidRPr="00D575BC">
        <w:rPr>
          <w:sz w:val="24"/>
          <w:szCs w:val="24"/>
          <w:rtl/>
        </w:rPr>
        <w:t>) گزارش گرد</w:t>
      </w:r>
      <w:r w:rsidRPr="00D575BC">
        <w:rPr>
          <w:rFonts w:hint="cs"/>
          <w:sz w:val="24"/>
          <w:szCs w:val="24"/>
          <w:rtl/>
        </w:rPr>
        <w:t>ی</w:t>
      </w:r>
      <w:r w:rsidRPr="00D575BC">
        <w:rPr>
          <w:rFonts w:hint="eastAsia"/>
          <w:sz w:val="24"/>
          <w:szCs w:val="24"/>
          <w:rtl/>
        </w:rPr>
        <w:t>د</w:t>
      </w:r>
      <w:r w:rsidRPr="00D575BC">
        <w:rPr>
          <w:sz w:val="24"/>
          <w:szCs w:val="24"/>
          <w:rtl/>
        </w:rPr>
        <w:t>. در تمام</w:t>
      </w:r>
      <w:r w:rsidRPr="00D575BC">
        <w:rPr>
          <w:rFonts w:hint="cs"/>
          <w:sz w:val="24"/>
          <w:szCs w:val="24"/>
          <w:rtl/>
        </w:rPr>
        <w:t>ی</w:t>
      </w:r>
      <w:r w:rsidRPr="00D575BC">
        <w:rPr>
          <w:sz w:val="24"/>
          <w:szCs w:val="24"/>
          <w:rtl/>
        </w:rPr>
        <w:t xml:space="preserve"> مراحل، سطح معن</w:t>
      </w:r>
      <w:r w:rsidRPr="00D575BC">
        <w:rPr>
          <w:rFonts w:hint="cs"/>
          <w:sz w:val="24"/>
          <w:szCs w:val="24"/>
          <w:rtl/>
        </w:rPr>
        <w:t>ی‌</w:t>
      </w:r>
      <w:r w:rsidRPr="00D575BC">
        <w:rPr>
          <w:rFonts w:hint="eastAsia"/>
          <w:sz w:val="24"/>
          <w:szCs w:val="24"/>
          <w:rtl/>
        </w:rPr>
        <w:t>دار</w:t>
      </w:r>
      <w:r w:rsidRPr="00D575BC">
        <w:rPr>
          <w:rFonts w:hint="cs"/>
          <w:sz w:val="24"/>
          <w:szCs w:val="24"/>
          <w:rtl/>
        </w:rPr>
        <w:t>ی</w:t>
      </w:r>
      <w:r w:rsidRPr="00D575BC">
        <w:rPr>
          <w:sz w:val="24"/>
          <w:szCs w:val="24"/>
          <w:rtl/>
        </w:rPr>
        <w:t xml:space="preserve"> آمار</w:t>
      </w:r>
      <w:r w:rsidRPr="00D575BC">
        <w:rPr>
          <w:rFonts w:hint="cs"/>
          <w:sz w:val="24"/>
          <w:szCs w:val="24"/>
          <w:rtl/>
        </w:rPr>
        <w:t>ی</w:t>
      </w:r>
      <w:r w:rsidRPr="00D575BC">
        <w:rPr>
          <w:sz w:val="24"/>
          <w:szCs w:val="24"/>
          <w:rtl/>
        </w:rPr>
        <w:t xml:space="preserve"> برابر با </w:t>
      </w:r>
      <w:r w:rsidRPr="00D575BC">
        <w:rPr>
          <w:rFonts w:hint="cs"/>
          <w:sz w:val="24"/>
          <w:szCs w:val="24"/>
          <w:rtl/>
        </w:rPr>
        <w:t>05/0</w:t>
      </w:r>
      <w:r w:rsidRPr="00D575BC">
        <w:rPr>
          <w:sz w:val="24"/>
          <w:szCs w:val="24"/>
          <w:rtl/>
        </w:rPr>
        <w:t xml:space="preserve"> </w:t>
      </w:r>
      <w:r w:rsidRPr="00D575BC">
        <w:rPr>
          <w:sz w:val="24"/>
          <w:szCs w:val="24"/>
        </w:rPr>
        <w:t>p &lt;</w:t>
      </w:r>
      <w:r w:rsidRPr="00D575BC">
        <w:rPr>
          <w:rFonts w:hint="cs"/>
          <w:sz w:val="24"/>
          <w:szCs w:val="24"/>
          <w:rtl/>
        </w:rPr>
        <w:t xml:space="preserve"> </w:t>
      </w:r>
      <w:r w:rsidRPr="00D575BC">
        <w:rPr>
          <w:sz w:val="24"/>
          <w:szCs w:val="24"/>
          <w:rtl/>
        </w:rPr>
        <w:t>در نظر گرفته شد.</w:t>
      </w:r>
    </w:p>
    <w:p w14:paraId="10B80F22" w14:textId="77777777" w:rsidR="00CF69B3" w:rsidRPr="00D575BC" w:rsidRDefault="00CF69B3" w:rsidP="00CF69B3">
      <w:pPr>
        <w:bidi/>
        <w:rPr>
          <w:rFonts w:cs="B Lotus"/>
          <w:bCs/>
          <w:sz w:val="24"/>
          <w:szCs w:val="24"/>
        </w:rPr>
      </w:pPr>
      <w:r w:rsidRPr="00D575BC">
        <w:rPr>
          <w:rFonts w:cs="B Lotus" w:hint="cs"/>
          <w:bCs/>
          <w:sz w:val="24"/>
          <w:szCs w:val="24"/>
          <w:rtl/>
        </w:rPr>
        <w:t>یافته</w:t>
      </w:r>
      <w:r w:rsidRPr="00D575BC">
        <w:rPr>
          <w:rFonts w:cs="B Lotus" w:hint="cs"/>
          <w:bCs/>
          <w:sz w:val="24"/>
          <w:szCs w:val="24"/>
          <w:rtl/>
          <w:cs/>
          <w:lang w:bidi="fa-IR"/>
        </w:rPr>
        <w:t>‎</w:t>
      </w:r>
      <w:r w:rsidRPr="00D575BC">
        <w:rPr>
          <w:rFonts w:cs="B Lotus" w:hint="cs"/>
          <w:bCs/>
          <w:sz w:val="24"/>
          <w:szCs w:val="24"/>
          <w:rtl/>
        </w:rPr>
        <w:t>ها</w:t>
      </w:r>
    </w:p>
    <w:p w14:paraId="00293BD6" w14:textId="77777777" w:rsidR="00CF69B3" w:rsidRPr="00D575BC" w:rsidRDefault="00CF69B3" w:rsidP="00CF69B3">
      <w:pPr>
        <w:pStyle w:val="a0"/>
        <w:rPr>
          <w:sz w:val="24"/>
          <w:szCs w:val="24"/>
        </w:rPr>
      </w:pPr>
      <w:r w:rsidRPr="00D575BC">
        <w:rPr>
          <w:sz w:val="24"/>
          <w:szCs w:val="24"/>
          <w:rtl/>
        </w:rPr>
        <w:t xml:space="preserve">یافته‌های حاصل از این مطالعه نشان داد که بیان نسبی ژن </w:t>
      </w:r>
      <w:r w:rsidRPr="00D575BC">
        <w:rPr>
          <w:sz w:val="24"/>
          <w:szCs w:val="24"/>
        </w:rPr>
        <w:t>CXCL1</w:t>
      </w:r>
      <w:r w:rsidRPr="00D575BC">
        <w:rPr>
          <w:rFonts w:hint="cs"/>
          <w:sz w:val="24"/>
          <w:szCs w:val="24"/>
          <w:rtl/>
        </w:rPr>
        <w:t xml:space="preserve"> </w:t>
      </w:r>
      <w:r w:rsidRPr="00D575BC">
        <w:rPr>
          <w:sz w:val="24"/>
          <w:szCs w:val="24"/>
          <w:rtl/>
        </w:rPr>
        <w:t xml:space="preserve">در بافت کبد رت‌ها تحت شرایط درمانی مختلف، تفاوت‌های معنی‌داری در سطح آماری </w:t>
      </w:r>
      <w:r w:rsidRPr="00D575BC">
        <w:rPr>
          <w:rFonts w:hint="cs"/>
          <w:sz w:val="24"/>
          <w:szCs w:val="24"/>
          <w:rtl/>
        </w:rPr>
        <w:t xml:space="preserve">05/0 &gt; </w:t>
      </w:r>
      <w:r w:rsidRPr="00D575BC">
        <w:rPr>
          <w:sz w:val="24"/>
          <w:szCs w:val="24"/>
        </w:rPr>
        <w:t xml:space="preserve"> P</w:t>
      </w:r>
      <w:r w:rsidRPr="00D575BC">
        <w:rPr>
          <w:sz w:val="24"/>
          <w:szCs w:val="24"/>
          <w:rtl/>
        </w:rPr>
        <w:t>داشت. به‌</w:t>
      </w:r>
      <w:r w:rsidRPr="00D575BC">
        <w:rPr>
          <w:rFonts w:hint="cs"/>
          <w:sz w:val="24"/>
          <w:szCs w:val="24"/>
          <w:rtl/>
        </w:rPr>
        <w:t xml:space="preserve"> </w:t>
      </w:r>
      <w:r w:rsidRPr="00D575BC">
        <w:rPr>
          <w:sz w:val="24"/>
          <w:szCs w:val="24"/>
          <w:rtl/>
        </w:rPr>
        <w:t>طور مشخص، سطح بیان ژن</w:t>
      </w:r>
      <w:r w:rsidRPr="00D575BC">
        <w:rPr>
          <w:sz w:val="24"/>
          <w:szCs w:val="24"/>
        </w:rPr>
        <w:t xml:space="preserve"> CXCL1 </w:t>
      </w:r>
      <w:r w:rsidRPr="00D575BC">
        <w:rPr>
          <w:sz w:val="24"/>
          <w:szCs w:val="24"/>
          <w:rtl/>
        </w:rPr>
        <w:t>در گروه سالخورده به</w:t>
      </w:r>
      <w:r w:rsidRPr="00D575BC">
        <w:rPr>
          <w:rFonts w:hint="cs"/>
          <w:sz w:val="24"/>
          <w:szCs w:val="24"/>
          <w:rtl/>
        </w:rPr>
        <w:t xml:space="preserve"> </w:t>
      </w:r>
      <w:r w:rsidRPr="00D575BC">
        <w:rPr>
          <w:sz w:val="24"/>
          <w:szCs w:val="24"/>
          <w:rtl/>
        </w:rPr>
        <w:t>‌طور معنی‌داری کمتر از گروه کنترل و همچنین گروه‌های درمانی 1 و 2 مشاهده شد</w:t>
      </w:r>
      <w:r w:rsidRPr="00D575BC">
        <w:rPr>
          <w:rFonts w:hint="cs"/>
          <w:sz w:val="24"/>
          <w:szCs w:val="24"/>
          <w:rtl/>
        </w:rPr>
        <w:t xml:space="preserve"> (001/0 &gt; </w:t>
      </w:r>
      <w:r w:rsidRPr="00D575BC">
        <w:rPr>
          <w:sz w:val="24"/>
          <w:szCs w:val="24"/>
        </w:rPr>
        <w:t>P</w:t>
      </w:r>
      <w:r w:rsidRPr="00D575BC">
        <w:rPr>
          <w:rFonts w:hint="cs"/>
          <w:sz w:val="24"/>
          <w:szCs w:val="24"/>
          <w:rtl/>
        </w:rPr>
        <w:t xml:space="preserve">). </w:t>
      </w:r>
      <w:r w:rsidRPr="00D575BC">
        <w:rPr>
          <w:sz w:val="24"/>
          <w:szCs w:val="24"/>
          <w:rtl/>
        </w:rPr>
        <w:t>این کاهش بیان در گروه سالخورده بیانگر اثرات منفی فرآیند سالمندی بر تنظیم ژن‌های التهابی است</w:t>
      </w:r>
      <w:r w:rsidRPr="00D575BC">
        <w:rPr>
          <w:sz w:val="24"/>
          <w:szCs w:val="24"/>
        </w:rPr>
        <w:t>.</w:t>
      </w:r>
    </w:p>
    <w:p w14:paraId="48E921DC" w14:textId="77777777" w:rsidR="00CF69B3" w:rsidRPr="00D575BC" w:rsidRDefault="00CF69B3" w:rsidP="00CF69B3">
      <w:pPr>
        <w:pStyle w:val="a0"/>
        <w:rPr>
          <w:sz w:val="24"/>
          <w:szCs w:val="24"/>
          <w:rtl/>
          <w:lang w:bidi="fa-IR"/>
        </w:rPr>
      </w:pPr>
      <w:r w:rsidRPr="00D575BC">
        <w:rPr>
          <w:sz w:val="24"/>
          <w:szCs w:val="24"/>
          <w:rtl/>
        </w:rPr>
        <w:t>از سوی دیگر، گروه درمانی 1 بالاترین میانگین سطح بیان ژن</w:t>
      </w:r>
      <w:r w:rsidRPr="00D575BC">
        <w:rPr>
          <w:sz w:val="24"/>
          <w:szCs w:val="24"/>
        </w:rPr>
        <w:t xml:space="preserve"> CXCL1 </w:t>
      </w:r>
      <w:r w:rsidRPr="00D575BC">
        <w:rPr>
          <w:sz w:val="24"/>
          <w:szCs w:val="24"/>
          <w:rtl/>
        </w:rPr>
        <w:t>را در مقایسه با سایر گروه‌ها نشان داد</w:t>
      </w:r>
      <w:r w:rsidRPr="00D575BC">
        <w:rPr>
          <w:sz w:val="24"/>
          <w:szCs w:val="24"/>
        </w:rPr>
        <w:t xml:space="preserve"> </w:t>
      </w:r>
      <w:r w:rsidRPr="00D575BC">
        <w:rPr>
          <w:rFonts w:hint="cs"/>
          <w:sz w:val="24"/>
          <w:szCs w:val="24"/>
          <w:rtl/>
        </w:rPr>
        <w:t xml:space="preserve">(001/0 &gt; </w:t>
      </w:r>
      <w:r w:rsidRPr="00D575BC">
        <w:rPr>
          <w:sz w:val="24"/>
          <w:szCs w:val="24"/>
        </w:rPr>
        <w:t>P</w:t>
      </w:r>
      <w:r w:rsidRPr="00D575BC">
        <w:rPr>
          <w:rFonts w:hint="cs"/>
          <w:sz w:val="24"/>
          <w:szCs w:val="24"/>
          <w:rtl/>
        </w:rPr>
        <w:t xml:space="preserve">)، </w:t>
      </w:r>
      <w:r w:rsidRPr="00D575BC">
        <w:rPr>
          <w:sz w:val="24"/>
          <w:szCs w:val="24"/>
          <w:rtl/>
        </w:rPr>
        <w:t>که حاکی از اثر تقویت</w:t>
      </w:r>
      <w:r w:rsidRPr="00D575BC">
        <w:rPr>
          <w:rFonts w:hint="cs"/>
          <w:sz w:val="24"/>
          <w:szCs w:val="24"/>
          <w:rtl/>
        </w:rPr>
        <w:t xml:space="preserve"> </w:t>
      </w:r>
      <w:r w:rsidRPr="00D575BC">
        <w:rPr>
          <w:sz w:val="24"/>
          <w:szCs w:val="24"/>
          <w:rtl/>
        </w:rPr>
        <w:t xml:space="preserve">‌کننده و قابل توجه ترکیب </w:t>
      </w:r>
      <w:r w:rsidRPr="00D575BC">
        <w:rPr>
          <w:sz w:val="24"/>
          <w:szCs w:val="24"/>
        </w:rPr>
        <w:t>EGCG</w:t>
      </w:r>
      <w:r w:rsidRPr="00D575BC">
        <w:rPr>
          <w:rFonts w:hint="cs"/>
          <w:sz w:val="24"/>
          <w:szCs w:val="24"/>
          <w:rtl/>
        </w:rPr>
        <w:t xml:space="preserve"> </w:t>
      </w:r>
      <w:r w:rsidRPr="00D575BC">
        <w:rPr>
          <w:sz w:val="24"/>
          <w:szCs w:val="24"/>
          <w:rtl/>
        </w:rPr>
        <w:t>در شرایط فیزیولوژیک سالم می‌باشد. در مقابل، گروه درمانی 2 در مقایسه با گروه کنترل تفاوت معنی‌داری در سطح بیان ژن</w:t>
      </w:r>
      <w:r w:rsidRPr="00D575BC">
        <w:rPr>
          <w:sz w:val="24"/>
          <w:szCs w:val="24"/>
        </w:rPr>
        <w:t xml:space="preserve"> CXCL1 </w:t>
      </w:r>
      <w:r w:rsidRPr="00D575BC">
        <w:rPr>
          <w:sz w:val="24"/>
          <w:szCs w:val="24"/>
          <w:rtl/>
        </w:rPr>
        <w:t>نشان نداد</w:t>
      </w:r>
      <w:r w:rsidRPr="00D575BC">
        <w:rPr>
          <w:rFonts w:hint="cs"/>
          <w:sz w:val="24"/>
          <w:szCs w:val="24"/>
          <w:rtl/>
        </w:rPr>
        <w:t xml:space="preserve"> (05/0 &lt; </w:t>
      </w:r>
      <w:r w:rsidRPr="00D575BC">
        <w:rPr>
          <w:sz w:val="24"/>
          <w:szCs w:val="24"/>
        </w:rPr>
        <w:t>P</w:t>
      </w:r>
      <w:r w:rsidRPr="00D575BC">
        <w:rPr>
          <w:rFonts w:hint="cs"/>
          <w:sz w:val="24"/>
          <w:szCs w:val="24"/>
          <w:rtl/>
        </w:rPr>
        <w:t xml:space="preserve">). </w:t>
      </w:r>
      <w:r w:rsidRPr="00D575BC">
        <w:rPr>
          <w:sz w:val="24"/>
          <w:szCs w:val="24"/>
          <w:rtl/>
        </w:rPr>
        <w:t>این یافته بیانگر آن است که</w:t>
      </w:r>
      <w:r w:rsidRPr="00D575BC">
        <w:rPr>
          <w:sz w:val="24"/>
          <w:szCs w:val="24"/>
        </w:rPr>
        <w:t xml:space="preserve"> EGCG </w:t>
      </w:r>
      <w:r w:rsidRPr="00D575BC">
        <w:rPr>
          <w:sz w:val="24"/>
          <w:szCs w:val="24"/>
          <w:rtl/>
        </w:rPr>
        <w:t>توانسته اثرات التهابی ناشی از سالمندی را تعدیل و خنثی نماید</w:t>
      </w:r>
      <w:r w:rsidRPr="00D575BC">
        <w:rPr>
          <w:sz w:val="24"/>
          <w:szCs w:val="24"/>
        </w:rPr>
        <w:t>.</w:t>
      </w:r>
      <w:r w:rsidRPr="00D575BC">
        <w:rPr>
          <w:rFonts w:hint="cs"/>
          <w:sz w:val="24"/>
          <w:szCs w:val="24"/>
          <w:rtl/>
          <w:lang w:bidi="fa-IR"/>
        </w:rPr>
        <w:t xml:space="preserve"> </w:t>
      </w:r>
      <w:r w:rsidRPr="00D575BC">
        <w:rPr>
          <w:sz w:val="24"/>
          <w:szCs w:val="24"/>
          <w:rtl/>
        </w:rPr>
        <w:t>در نهایت، گروه سالخورده القای شدید ژن</w:t>
      </w:r>
      <w:r w:rsidRPr="00D575BC">
        <w:rPr>
          <w:sz w:val="24"/>
          <w:szCs w:val="24"/>
        </w:rPr>
        <w:t xml:space="preserve"> CXCL1 </w:t>
      </w:r>
      <w:r w:rsidRPr="00D575BC">
        <w:rPr>
          <w:sz w:val="24"/>
          <w:szCs w:val="24"/>
          <w:rtl/>
        </w:rPr>
        <w:t>را در شرایط التهاب ناشی از سالمندی نشان نداد، که می‌تواند به‌</w:t>
      </w:r>
      <w:r w:rsidRPr="00D575BC">
        <w:rPr>
          <w:rFonts w:hint="cs"/>
          <w:sz w:val="24"/>
          <w:szCs w:val="24"/>
          <w:rtl/>
        </w:rPr>
        <w:t xml:space="preserve"> </w:t>
      </w:r>
      <w:r w:rsidRPr="00D575BC">
        <w:rPr>
          <w:sz w:val="24"/>
          <w:szCs w:val="24"/>
          <w:rtl/>
        </w:rPr>
        <w:t>عنوان شواهدی از تغییرات تنظیمی در مسیرهای التهابی مرتبط با افزایش سن تلقی گردد (نمودار 1)</w:t>
      </w:r>
      <w:r w:rsidRPr="00D575BC">
        <w:rPr>
          <w:sz w:val="24"/>
          <w:szCs w:val="24"/>
        </w:rPr>
        <w:t>.</w:t>
      </w:r>
    </w:p>
    <w:p w14:paraId="32C4D9B4" w14:textId="77777777" w:rsidR="00CF69B3" w:rsidRPr="00D575BC" w:rsidRDefault="00CF69B3" w:rsidP="00CF69B3">
      <w:pPr>
        <w:bidi/>
        <w:jc w:val="center"/>
        <w:rPr>
          <w:rFonts w:cs="B Lotus"/>
          <w:b/>
          <w:bCs/>
          <w:sz w:val="24"/>
          <w:szCs w:val="24"/>
        </w:rPr>
      </w:pPr>
      <w:r w:rsidRPr="00D575BC">
        <w:rPr>
          <w:rFonts w:cs="B Lotus"/>
          <w:noProof/>
          <w:color w:val="000000"/>
          <w:sz w:val="24"/>
          <w:szCs w:val="24"/>
        </w:rPr>
        <w:drawing>
          <wp:inline distT="0" distB="0" distL="0" distR="0" wp14:anchorId="5F750E8C" wp14:editId="28BC042D">
            <wp:extent cx="5745480" cy="2165350"/>
            <wp:effectExtent l="0" t="0" r="7620" b="6350"/>
            <wp:docPr id="760765469" name="Chart 10">
              <a:extLst xmlns:a="http://schemas.openxmlformats.org/drawingml/2006/main">
                <a:ext uri="{FF2B5EF4-FFF2-40B4-BE49-F238E27FC236}">
                  <a16:creationId xmlns:a16="http://schemas.microsoft.com/office/drawing/2014/main" id="{4310E258-70CB-43B2-A22D-87480F3574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4E09C04" w14:textId="77777777" w:rsidR="00CF69B3" w:rsidRPr="00D575BC" w:rsidRDefault="00CF69B3" w:rsidP="00CF69B3">
      <w:pPr>
        <w:pStyle w:val="a0"/>
        <w:jc w:val="center"/>
        <w:rPr>
          <w:b/>
          <w:bCs/>
          <w:sz w:val="24"/>
          <w:szCs w:val="24"/>
          <w:rtl/>
        </w:rPr>
      </w:pPr>
      <w:bookmarkStart w:id="20" w:name="_Toc202482601"/>
      <w:r w:rsidRPr="00D575BC">
        <w:rPr>
          <w:b/>
          <w:bCs/>
          <w:sz w:val="24"/>
          <w:szCs w:val="24"/>
          <w:rtl/>
        </w:rPr>
        <w:t xml:space="preserve">نمودار </w:t>
      </w:r>
      <w:r w:rsidRPr="00D575BC">
        <w:rPr>
          <w:rFonts w:hint="cs"/>
          <w:b/>
          <w:bCs/>
          <w:sz w:val="24"/>
          <w:szCs w:val="24"/>
          <w:rtl/>
        </w:rPr>
        <w:t>1.</w:t>
      </w:r>
      <w:r w:rsidRPr="00D575BC">
        <w:rPr>
          <w:b/>
          <w:bCs/>
          <w:sz w:val="24"/>
          <w:szCs w:val="24"/>
          <w:rtl/>
        </w:rPr>
        <w:t xml:space="preserve"> مقایسه تغییرات </w:t>
      </w:r>
      <w:r w:rsidRPr="00D575BC">
        <w:rPr>
          <w:rFonts w:hint="cs"/>
          <w:b/>
          <w:bCs/>
          <w:sz w:val="24"/>
          <w:szCs w:val="24"/>
          <w:rtl/>
        </w:rPr>
        <w:t xml:space="preserve">میزان </w:t>
      </w:r>
      <w:r w:rsidRPr="00D575BC">
        <w:rPr>
          <w:b/>
          <w:bCs/>
          <w:sz w:val="24"/>
          <w:szCs w:val="24"/>
        </w:rPr>
        <w:t>CXCL1</w:t>
      </w:r>
      <w:r w:rsidRPr="00D575BC">
        <w:rPr>
          <w:rFonts w:hint="cs"/>
          <w:b/>
          <w:bCs/>
          <w:sz w:val="24"/>
          <w:szCs w:val="24"/>
          <w:rtl/>
        </w:rPr>
        <w:t xml:space="preserve"> در گروه‏های مختلف</w:t>
      </w:r>
      <w:bookmarkEnd w:id="20"/>
      <w:r w:rsidRPr="00D575BC">
        <w:rPr>
          <w:rFonts w:hint="cs"/>
          <w:b/>
          <w:bCs/>
          <w:sz w:val="24"/>
          <w:szCs w:val="24"/>
          <w:rtl/>
        </w:rPr>
        <w:t xml:space="preserve"> درمانی</w:t>
      </w:r>
    </w:p>
    <w:p w14:paraId="77CE262F" w14:textId="77777777" w:rsidR="00CF69B3" w:rsidRPr="00D575BC" w:rsidRDefault="00CF69B3" w:rsidP="00CF69B3">
      <w:pPr>
        <w:bidi/>
        <w:jc w:val="both"/>
        <w:rPr>
          <w:rFonts w:cs="B Lotus"/>
          <w:b/>
          <w:bCs/>
          <w:sz w:val="24"/>
          <w:szCs w:val="24"/>
          <w:rtl/>
        </w:rPr>
      </w:pPr>
    </w:p>
    <w:p w14:paraId="3A9BC605" w14:textId="77777777" w:rsidR="00CF69B3" w:rsidRPr="00D575BC" w:rsidRDefault="00CF69B3" w:rsidP="00CF69B3">
      <w:pPr>
        <w:pStyle w:val="a0"/>
        <w:rPr>
          <w:sz w:val="24"/>
          <w:szCs w:val="24"/>
        </w:rPr>
      </w:pPr>
      <w:r w:rsidRPr="00D575BC">
        <w:rPr>
          <w:sz w:val="24"/>
          <w:szCs w:val="24"/>
          <w:rtl/>
        </w:rPr>
        <w:lastRenderedPageBreak/>
        <w:t xml:space="preserve">اندازه‌گیری سیتوکین‌های </w:t>
      </w:r>
      <w:r w:rsidRPr="00D575BC">
        <w:rPr>
          <w:sz w:val="24"/>
          <w:szCs w:val="24"/>
        </w:rPr>
        <w:t>TNF-α</w:t>
      </w:r>
      <w:r w:rsidRPr="00D575BC">
        <w:rPr>
          <w:sz w:val="24"/>
          <w:szCs w:val="24"/>
          <w:rtl/>
        </w:rPr>
        <w:t xml:space="preserve">، </w:t>
      </w:r>
      <w:r w:rsidRPr="00D575BC">
        <w:rPr>
          <w:sz w:val="24"/>
          <w:szCs w:val="24"/>
        </w:rPr>
        <w:t>IL-6</w:t>
      </w:r>
      <w:r w:rsidRPr="00D575BC">
        <w:rPr>
          <w:rFonts w:hint="cs"/>
          <w:sz w:val="24"/>
          <w:szCs w:val="24"/>
          <w:rtl/>
        </w:rPr>
        <w:t xml:space="preserve"> </w:t>
      </w:r>
      <w:r w:rsidRPr="00D575BC">
        <w:rPr>
          <w:sz w:val="24"/>
          <w:szCs w:val="24"/>
          <w:rtl/>
        </w:rPr>
        <w:t>و</w:t>
      </w:r>
      <w:r w:rsidRPr="00D575BC">
        <w:rPr>
          <w:sz w:val="24"/>
          <w:szCs w:val="24"/>
        </w:rPr>
        <w:t xml:space="preserve"> MCP-1 </w:t>
      </w:r>
      <w:r w:rsidRPr="00D575BC">
        <w:rPr>
          <w:sz w:val="24"/>
          <w:szCs w:val="24"/>
          <w:rtl/>
        </w:rPr>
        <w:t>در گروه‌های مختلف آزمایشی نشان داد که الگوی بیان این فاکتورهای التهابی تحت شرایط درمانی متفاوت، تغییرات قابل توجهی داشته است. در گروه کنترل، که حیوانات تنها در شرایط استاندارد آزمایشگاهی نگهداری شدند، سطح سیتوکین‌ها در محدوده فیزیولوژیک طبیعی قرار داشت و به‌</w:t>
      </w:r>
      <w:r w:rsidRPr="00D575BC">
        <w:rPr>
          <w:rFonts w:hint="cs"/>
          <w:sz w:val="24"/>
          <w:szCs w:val="24"/>
          <w:rtl/>
        </w:rPr>
        <w:t xml:space="preserve"> </w:t>
      </w:r>
      <w:r w:rsidRPr="00D575BC">
        <w:rPr>
          <w:sz w:val="24"/>
          <w:szCs w:val="24"/>
          <w:rtl/>
        </w:rPr>
        <w:t>عنوان مبنای مقایسه در نظر گرفته شد</w:t>
      </w:r>
      <w:r w:rsidRPr="00D575BC">
        <w:rPr>
          <w:sz w:val="24"/>
          <w:szCs w:val="24"/>
        </w:rPr>
        <w:t>.</w:t>
      </w:r>
    </w:p>
    <w:p w14:paraId="05088BDB" w14:textId="77777777" w:rsidR="00CF69B3" w:rsidRPr="00D575BC" w:rsidRDefault="00CF69B3" w:rsidP="00CF69B3">
      <w:pPr>
        <w:pStyle w:val="a0"/>
        <w:rPr>
          <w:sz w:val="24"/>
          <w:szCs w:val="24"/>
        </w:rPr>
      </w:pPr>
      <w:r w:rsidRPr="00D575BC">
        <w:rPr>
          <w:sz w:val="24"/>
          <w:szCs w:val="24"/>
          <w:rtl/>
        </w:rPr>
        <w:t xml:space="preserve">در گروه درمانی 1، که رت‌ها ترکیب </w:t>
      </w:r>
      <w:r w:rsidRPr="00D575BC">
        <w:rPr>
          <w:sz w:val="24"/>
          <w:szCs w:val="24"/>
        </w:rPr>
        <w:t>EGCG</w:t>
      </w:r>
      <w:r w:rsidRPr="00D575BC">
        <w:rPr>
          <w:rFonts w:hint="cs"/>
          <w:sz w:val="24"/>
          <w:szCs w:val="24"/>
          <w:rtl/>
        </w:rPr>
        <w:t xml:space="preserve"> </w:t>
      </w:r>
      <w:r w:rsidRPr="00D575BC">
        <w:rPr>
          <w:sz w:val="24"/>
          <w:szCs w:val="24"/>
          <w:rtl/>
        </w:rPr>
        <w:t>دریافت کردند، کاهش معنی‌داری در سطح سیتوکین‌های</w:t>
      </w:r>
      <w:r w:rsidRPr="00D575BC">
        <w:rPr>
          <w:sz w:val="24"/>
          <w:szCs w:val="24"/>
        </w:rPr>
        <w:t xml:space="preserve"> TNF-α</w:t>
      </w:r>
      <w:r w:rsidRPr="00D575BC">
        <w:rPr>
          <w:sz w:val="24"/>
          <w:szCs w:val="24"/>
          <w:rtl/>
        </w:rPr>
        <w:t xml:space="preserve">، </w:t>
      </w:r>
      <w:r w:rsidRPr="00D575BC">
        <w:rPr>
          <w:sz w:val="24"/>
          <w:szCs w:val="24"/>
        </w:rPr>
        <w:t>IL-6</w:t>
      </w:r>
      <w:r w:rsidRPr="00D575BC">
        <w:rPr>
          <w:rFonts w:hint="cs"/>
          <w:sz w:val="24"/>
          <w:szCs w:val="24"/>
          <w:rtl/>
        </w:rPr>
        <w:t xml:space="preserve"> </w:t>
      </w:r>
      <w:r w:rsidRPr="00D575BC">
        <w:rPr>
          <w:sz w:val="24"/>
          <w:szCs w:val="24"/>
          <w:rtl/>
        </w:rPr>
        <w:t>و</w:t>
      </w:r>
      <w:r w:rsidRPr="00D575BC">
        <w:rPr>
          <w:sz w:val="24"/>
          <w:szCs w:val="24"/>
        </w:rPr>
        <w:t xml:space="preserve"> MCP-1 </w:t>
      </w:r>
      <w:r w:rsidRPr="00D575BC">
        <w:rPr>
          <w:sz w:val="24"/>
          <w:szCs w:val="24"/>
          <w:rtl/>
        </w:rPr>
        <w:t>نسبت به گروه کنترل مشاهده شد</w:t>
      </w:r>
      <w:r w:rsidRPr="00D575BC">
        <w:rPr>
          <w:sz w:val="24"/>
          <w:szCs w:val="24"/>
        </w:rPr>
        <w:t xml:space="preserve"> </w:t>
      </w:r>
      <w:r w:rsidRPr="00D575BC">
        <w:rPr>
          <w:rFonts w:hint="cs"/>
          <w:sz w:val="24"/>
          <w:szCs w:val="24"/>
          <w:rtl/>
        </w:rPr>
        <w:t xml:space="preserve">(001/0 &gt; </w:t>
      </w:r>
      <w:r w:rsidRPr="00D575BC">
        <w:rPr>
          <w:sz w:val="24"/>
          <w:szCs w:val="24"/>
        </w:rPr>
        <w:t>P</w:t>
      </w:r>
      <w:r w:rsidRPr="00D575BC">
        <w:rPr>
          <w:rFonts w:hint="cs"/>
          <w:sz w:val="24"/>
          <w:szCs w:val="24"/>
          <w:rtl/>
        </w:rPr>
        <w:t xml:space="preserve">). </w:t>
      </w:r>
      <w:r w:rsidRPr="00D575BC">
        <w:rPr>
          <w:sz w:val="24"/>
          <w:szCs w:val="24"/>
          <w:rtl/>
        </w:rPr>
        <w:t>این یافته نشان‌</w:t>
      </w:r>
      <w:r w:rsidRPr="00D575BC">
        <w:rPr>
          <w:rFonts w:hint="cs"/>
          <w:sz w:val="24"/>
          <w:szCs w:val="24"/>
          <w:rtl/>
        </w:rPr>
        <w:t xml:space="preserve"> </w:t>
      </w:r>
      <w:r w:rsidRPr="00D575BC">
        <w:rPr>
          <w:sz w:val="24"/>
          <w:szCs w:val="24"/>
          <w:rtl/>
        </w:rPr>
        <w:t>دهنده اثر ضدالتهابی قوی</w:t>
      </w:r>
      <w:r w:rsidRPr="00D575BC">
        <w:rPr>
          <w:sz w:val="24"/>
          <w:szCs w:val="24"/>
        </w:rPr>
        <w:t xml:space="preserve"> EGCG</w:t>
      </w:r>
      <w:r w:rsidRPr="00D575BC">
        <w:rPr>
          <w:rFonts w:hint="cs"/>
          <w:sz w:val="24"/>
          <w:szCs w:val="24"/>
          <w:rtl/>
        </w:rPr>
        <w:t xml:space="preserve"> </w:t>
      </w:r>
      <w:r w:rsidRPr="00D575BC">
        <w:rPr>
          <w:sz w:val="24"/>
          <w:szCs w:val="24"/>
          <w:rtl/>
        </w:rPr>
        <w:t>در شرایط فیزیولوژیک سالم است</w:t>
      </w:r>
      <w:r w:rsidRPr="00D575BC">
        <w:rPr>
          <w:sz w:val="24"/>
          <w:szCs w:val="24"/>
        </w:rPr>
        <w:t>.</w:t>
      </w:r>
    </w:p>
    <w:p w14:paraId="33EA0276" w14:textId="77777777" w:rsidR="00CF69B3" w:rsidRPr="00D575BC" w:rsidRDefault="00CF69B3" w:rsidP="00CF69B3">
      <w:pPr>
        <w:pStyle w:val="a0"/>
        <w:rPr>
          <w:sz w:val="24"/>
          <w:szCs w:val="24"/>
        </w:rPr>
      </w:pPr>
      <w:r w:rsidRPr="00D575BC">
        <w:rPr>
          <w:sz w:val="24"/>
          <w:szCs w:val="24"/>
          <w:rtl/>
        </w:rPr>
        <w:t>در گروه سالمند، افزایش قابل توجهی در بیان</w:t>
      </w:r>
      <w:r w:rsidRPr="00D575BC">
        <w:rPr>
          <w:rFonts w:hint="cs"/>
          <w:sz w:val="24"/>
          <w:szCs w:val="24"/>
          <w:rtl/>
        </w:rPr>
        <w:t xml:space="preserve"> </w:t>
      </w:r>
      <w:r w:rsidRPr="00D575BC">
        <w:rPr>
          <w:sz w:val="24"/>
          <w:szCs w:val="24"/>
        </w:rPr>
        <w:t>TNF-α</w:t>
      </w:r>
      <w:r w:rsidRPr="00D575BC">
        <w:rPr>
          <w:sz w:val="24"/>
          <w:szCs w:val="24"/>
          <w:rtl/>
        </w:rPr>
        <w:t xml:space="preserve">، </w:t>
      </w:r>
      <w:r w:rsidRPr="00D575BC">
        <w:rPr>
          <w:sz w:val="24"/>
          <w:szCs w:val="24"/>
        </w:rPr>
        <w:t>IL-6</w:t>
      </w:r>
      <w:r w:rsidRPr="00D575BC">
        <w:rPr>
          <w:rFonts w:hint="cs"/>
          <w:sz w:val="24"/>
          <w:szCs w:val="24"/>
          <w:rtl/>
        </w:rPr>
        <w:t xml:space="preserve"> </w:t>
      </w:r>
      <w:r w:rsidRPr="00D575BC">
        <w:rPr>
          <w:sz w:val="24"/>
          <w:szCs w:val="24"/>
          <w:rtl/>
        </w:rPr>
        <w:t>و</w:t>
      </w:r>
      <w:r w:rsidRPr="00D575BC">
        <w:rPr>
          <w:sz w:val="24"/>
          <w:szCs w:val="24"/>
        </w:rPr>
        <w:t xml:space="preserve"> MCP-1 </w:t>
      </w:r>
      <w:r w:rsidRPr="00D575BC">
        <w:rPr>
          <w:sz w:val="24"/>
          <w:szCs w:val="24"/>
          <w:rtl/>
        </w:rPr>
        <w:t>نسبت به گروه کنترل مشاهده گردید</w:t>
      </w:r>
      <w:r w:rsidRPr="00D575BC">
        <w:rPr>
          <w:sz w:val="24"/>
          <w:szCs w:val="24"/>
        </w:rPr>
        <w:t xml:space="preserve"> </w:t>
      </w:r>
      <w:r w:rsidRPr="00D575BC">
        <w:rPr>
          <w:rFonts w:hint="cs"/>
          <w:sz w:val="24"/>
          <w:szCs w:val="24"/>
          <w:rtl/>
        </w:rPr>
        <w:t xml:space="preserve">(001/0 &gt; </w:t>
      </w:r>
      <w:r w:rsidRPr="00D575BC">
        <w:rPr>
          <w:sz w:val="24"/>
          <w:szCs w:val="24"/>
        </w:rPr>
        <w:t>P</w:t>
      </w:r>
      <w:r w:rsidRPr="00D575BC">
        <w:rPr>
          <w:rFonts w:hint="cs"/>
          <w:sz w:val="24"/>
          <w:szCs w:val="24"/>
          <w:rtl/>
        </w:rPr>
        <w:t xml:space="preserve">). </w:t>
      </w:r>
      <w:r w:rsidRPr="00D575BC">
        <w:rPr>
          <w:sz w:val="24"/>
          <w:szCs w:val="24"/>
          <w:rtl/>
        </w:rPr>
        <w:t>این افزایش بیان سیتوکین‌ها بیانگر القای پاسخ التهابی ناشی از فرآیند سالمندی و استرس اکسیداتیو القا</w:t>
      </w:r>
      <w:r w:rsidRPr="00D575BC">
        <w:rPr>
          <w:rFonts w:hint="cs"/>
          <w:sz w:val="24"/>
          <w:szCs w:val="24"/>
          <w:rtl/>
        </w:rPr>
        <w:t xml:space="preserve"> </w:t>
      </w:r>
      <w:r w:rsidRPr="00D575BC">
        <w:rPr>
          <w:sz w:val="24"/>
          <w:szCs w:val="24"/>
          <w:rtl/>
        </w:rPr>
        <w:t>شده توسط دی‌گالاکتوز است</w:t>
      </w:r>
      <w:r w:rsidRPr="00D575BC">
        <w:rPr>
          <w:sz w:val="24"/>
          <w:szCs w:val="24"/>
        </w:rPr>
        <w:t>.</w:t>
      </w:r>
    </w:p>
    <w:p w14:paraId="336D41A9" w14:textId="77777777" w:rsidR="00CF69B3" w:rsidRPr="00D575BC" w:rsidRDefault="00CF69B3" w:rsidP="00CF69B3">
      <w:pPr>
        <w:pStyle w:val="a0"/>
        <w:rPr>
          <w:sz w:val="24"/>
          <w:szCs w:val="24"/>
        </w:rPr>
      </w:pPr>
      <w:r w:rsidRPr="00D575BC">
        <w:rPr>
          <w:sz w:val="24"/>
          <w:szCs w:val="24"/>
          <w:rtl/>
        </w:rPr>
        <w:t>در گروه درمانی 2، سطح سیتوکین‌های</w:t>
      </w:r>
      <w:r w:rsidRPr="00D575BC">
        <w:rPr>
          <w:rFonts w:hint="cs"/>
          <w:sz w:val="24"/>
          <w:szCs w:val="24"/>
          <w:rtl/>
        </w:rPr>
        <w:t xml:space="preserve"> </w:t>
      </w:r>
      <w:r w:rsidRPr="00D575BC">
        <w:rPr>
          <w:sz w:val="24"/>
          <w:szCs w:val="24"/>
        </w:rPr>
        <w:t>TNF-α</w:t>
      </w:r>
      <w:r w:rsidRPr="00D575BC">
        <w:rPr>
          <w:sz w:val="24"/>
          <w:szCs w:val="24"/>
          <w:rtl/>
        </w:rPr>
        <w:t xml:space="preserve">، </w:t>
      </w:r>
      <w:r w:rsidRPr="00D575BC">
        <w:rPr>
          <w:sz w:val="24"/>
          <w:szCs w:val="24"/>
        </w:rPr>
        <w:t>IL-6</w:t>
      </w:r>
      <w:r w:rsidRPr="00D575BC">
        <w:rPr>
          <w:rFonts w:hint="cs"/>
          <w:sz w:val="24"/>
          <w:szCs w:val="24"/>
          <w:rtl/>
        </w:rPr>
        <w:t xml:space="preserve"> </w:t>
      </w:r>
      <w:r w:rsidRPr="00D575BC">
        <w:rPr>
          <w:sz w:val="24"/>
          <w:szCs w:val="24"/>
          <w:rtl/>
        </w:rPr>
        <w:t>و</w:t>
      </w:r>
      <w:r w:rsidRPr="00D575BC">
        <w:rPr>
          <w:sz w:val="24"/>
          <w:szCs w:val="24"/>
        </w:rPr>
        <w:t xml:space="preserve"> MCP-1 </w:t>
      </w:r>
      <w:r w:rsidRPr="00D575BC">
        <w:rPr>
          <w:sz w:val="24"/>
          <w:szCs w:val="24"/>
          <w:rtl/>
        </w:rPr>
        <w:t>کاهش یافت و تفاوت معنی‌داری با گروه سالمند نشان داد</w:t>
      </w:r>
      <w:r w:rsidRPr="00D575BC">
        <w:rPr>
          <w:rFonts w:hint="cs"/>
          <w:sz w:val="24"/>
          <w:szCs w:val="24"/>
          <w:rtl/>
        </w:rPr>
        <w:t xml:space="preserve"> (01/0 &gt; </w:t>
      </w:r>
      <w:r w:rsidRPr="00D575BC">
        <w:rPr>
          <w:sz w:val="24"/>
          <w:szCs w:val="24"/>
        </w:rPr>
        <w:t>P</w:t>
      </w:r>
      <w:r w:rsidRPr="00D575BC">
        <w:rPr>
          <w:rFonts w:hint="cs"/>
          <w:sz w:val="24"/>
          <w:szCs w:val="24"/>
          <w:rtl/>
        </w:rPr>
        <w:t xml:space="preserve">). </w:t>
      </w:r>
      <w:r w:rsidRPr="00D575BC">
        <w:rPr>
          <w:sz w:val="24"/>
          <w:szCs w:val="24"/>
          <w:rtl/>
        </w:rPr>
        <w:t>با این حال، مقادیر این سیتوکین‌ها در گروه درمانی 2 نسبت به گروه کنترل تفاوت معنی‌داری نداشت</w:t>
      </w:r>
      <w:r w:rsidRPr="00D575BC">
        <w:rPr>
          <w:sz w:val="24"/>
          <w:szCs w:val="24"/>
        </w:rPr>
        <w:t xml:space="preserve"> </w:t>
      </w:r>
      <w:r w:rsidRPr="00D575BC">
        <w:rPr>
          <w:rFonts w:hint="cs"/>
          <w:sz w:val="24"/>
          <w:szCs w:val="24"/>
          <w:rtl/>
        </w:rPr>
        <w:t xml:space="preserve">(05/0 &lt; </w:t>
      </w:r>
      <w:r w:rsidRPr="00D575BC">
        <w:rPr>
          <w:sz w:val="24"/>
          <w:szCs w:val="24"/>
        </w:rPr>
        <w:t>P</w:t>
      </w:r>
      <w:r w:rsidRPr="00D575BC">
        <w:rPr>
          <w:rFonts w:hint="cs"/>
          <w:sz w:val="24"/>
          <w:szCs w:val="24"/>
          <w:rtl/>
        </w:rPr>
        <w:t xml:space="preserve">). </w:t>
      </w:r>
      <w:r w:rsidRPr="00D575BC">
        <w:rPr>
          <w:sz w:val="24"/>
          <w:szCs w:val="24"/>
          <w:rtl/>
        </w:rPr>
        <w:t>این یافته نشان می‌دهد که</w:t>
      </w:r>
      <w:r w:rsidRPr="00D575BC">
        <w:rPr>
          <w:sz w:val="24"/>
          <w:szCs w:val="24"/>
        </w:rPr>
        <w:t xml:space="preserve"> EGCG </w:t>
      </w:r>
      <w:r w:rsidRPr="00D575BC">
        <w:rPr>
          <w:sz w:val="24"/>
          <w:szCs w:val="24"/>
          <w:rtl/>
        </w:rPr>
        <w:t>توانسته اثرات التهابی ناشی از سالمندی را تعدیل کرده و سطح سیتوکین‌ها را به محدوده طبیعی بازگرداند</w:t>
      </w:r>
      <w:r w:rsidRPr="00D575BC">
        <w:rPr>
          <w:sz w:val="24"/>
          <w:szCs w:val="24"/>
        </w:rPr>
        <w:t>.</w:t>
      </w:r>
      <w:r w:rsidRPr="00D575BC">
        <w:rPr>
          <w:rFonts w:hint="cs"/>
          <w:sz w:val="24"/>
          <w:szCs w:val="24"/>
          <w:rtl/>
        </w:rPr>
        <w:t xml:space="preserve"> </w:t>
      </w:r>
      <w:r w:rsidRPr="00D575BC">
        <w:rPr>
          <w:sz w:val="24"/>
          <w:szCs w:val="24"/>
          <w:rtl/>
        </w:rPr>
        <w:t>به</w:t>
      </w:r>
      <w:r w:rsidRPr="00D575BC">
        <w:rPr>
          <w:rFonts w:hint="cs"/>
          <w:sz w:val="24"/>
          <w:szCs w:val="24"/>
          <w:rtl/>
        </w:rPr>
        <w:t xml:space="preserve"> </w:t>
      </w:r>
      <w:r w:rsidRPr="00D575BC">
        <w:rPr>
          <w:sz w:val="24"/>
          <w:szCs w:val="24"/>
          <w:rtl/>
        </w:rPr>
        <w:t>‌طور کلی، نتایج این مطالعه نشان داد که</w:t>
      </w:r>
      <w:r w:rsidRPr="00D575BC">
        <w:rPr>
          <w:sz w:val="24"/>
          <w:szCs w:val="24"/>
        </w:rPr>
        <w:t xml:space="preserve"> EGCG </w:t>
      </w:r>
      <w:r w:rsidRPr="00D575BC">
        <w:rPr>
          <w:sz w:val="24"/>
          <w:szCs w:val="24"/>
          <w:rtl/>
        </w:rPr>
        <w:t>در شرایط سالم اثر ضدالتهابی بارزی دارد و در شرایط القای سالمندی نیز قادر است پاسخ‌های التهابی ناشی از افزایش سن را خنثی نماید (</w:t>
      </w:r>
      <w:r w:rsidRPr="00D575BC">
        <w:rPr>
          <w:rFonts w:hint="cs"/>
          <w:sz w:val="24"/>
          <w:szCs w:val="24"/>
          <w:rtl/>
        </w:rPr>
        <w:t>جدول</w:t>
      </w:r>
      <w:r w:rsidRPr="00D575BC">
        <w:rPr>
          <w:sz w:val="24"/>
          <w:szCs w:val="24"/>
          <w:rtl/>
        </w:rPr>
        <w:t xml:space="preserve"> 2)</w:t>
      </w:r>
      <w:r w:rsidRPr="00D575BC">
        <w:rPr>
          <w:sz w:val="24"/>
          <w:szCs w:val="24"/>
        </w:rPr>
        <w:t>.</w:t>
      </w:r>
    </w:p>
    <w:p w14:paraId="017CAD3E" w14:textId="77777777" w:rsidR="00CF69B3" w:rsidRPr="00D575BC" w:rsidRDefault="00CF69B3" w:rsidP="00CF69B3">
      <w:pPr>
        <w:pStyle w:val="a0"/>
        <w:jc w:val="center"/>
        <w:rPr>
          <w:b/>
          <w:bCs/>
          <w:sz w:val="24"/>
          <w:szCs w:val="24"/>
          <w:rtl/>
        </w:rPr>
      </w:pPr>
      <w:r w:rsidRPr="00D575BC">
        <w:rPr>
          <w:rFonts w:hint="cs"/>
          <w:b/>
          <w:bCs/>
          <w:sz w:val="24"/>
          <w:szCs w:val="24"/>
          <w:rtl/>
        </w:rPr>
        <w:t>جدول 2. مقایسه شاخص‏های التهابی در گروه‏های مختلف درمانی (</w:t>
      </w:r>
      <w:r w:rsidRPr="00D575BC">
        <w:rPr>
          <w:b/>
          <w:bCs/>
          <w:sz w:val="24"/>
          <w:szCs w:val="24"/>
        </w:rPr>
        <w:t>Mean ± SEM</w:t>
      </w:r>
      <w:r w:rsidRPr="00D575BC">
        <w:rPr>
          <w:rFonts w:hint="cs"/>
          <w:b/>
          <w:bCs/>
          <w:sz w:val="24"/>
          <w:szCs w:val="24"/>
          <w:rtl/>
        </w:rPr>
        <w:t>)</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3"/>
        <w:gridCol w:w="1944"/>
        <w:gridCol w:w="1846"/>
        <w:gridCol w:w="2041"/>
      </w:tblGrid>
      <w:tr w:rsidR="00CF69B3" w:rsidRPr="00D575BC" w14:paraId="3FD4E7C8" w14:textId="77777777" w:rsidTr="00187D58">
        <w:trPr>
          <w:trHeight w:val="453"/>
          <w:jc w:val="center"/>
        </w:trPr>
        <w:tc>
          <w:tcPr>
            <w:tcW w:w="1743" w:type="dxa"/>
            <w:tcBorders>
              <w:top w:val="single" w:sz="4" w:space="0" w:color="auto"/>
              <w:bottom w:val="single" w:sz="4" w:space="0" w:color="auto"/>
            </w:tcBorders>
          </w:tcPr>
          <w:p w14:paraId="270EC385" w14:textId="77777777" w:rsidR="00CF69B3" w:rsidRPr="00D575BC" w:rsidRDefault="00CF69B3" w:rsidP="00187D58">
            <w:pPr>
              <w:pStyle w:val="a0"/>
              <w:jc w:val="center"/>
              <w:rPr>
                <w:sz w:val="24"/>
                <w:szCs w:val="24"/>
                <w:rtl/>
              </w:rPr>
            </w:pPr>
            <w:r w:rsidRPr="00D575BC">
              <w:rPr>
                <w:b/>
                <w:bCs/>
                <w:sz w:val="24"/>
                <w:szCs w:val="24"/>
                <w:rtl/>
              </w:rPr>
              <w:t>گروه آزمایشی</w:t>
            </w:r>
          </w:p>
        </w:tc>
        <w:tc>
          <w:tcPr>
            <w:tcW w:w="1944" w:type="dxa"/>
            <w:tcBorders>
              <w:top w:val="single" w:sz="4" w:space="0" w:color="auto"/>
              <w:bottom w:val="single" w:sz="4" w:space="0" w:color="auto"/>
            </w:tcBorders>
          </w:tcPr>
          <w:p w14:paraId="7C6F8E4B" w14:textId="77777777" w:rsidR="00CF69B3" w:rsidRPr="00D575BC" w:rsidRDefault="00CF69B3" w:rsidP="00187D58">
            <w:pPr>
              <w:pStyle w:val="a0"/>
              <w:jc w:val="center"/>
              <w:rPr>
                <w:sz w:val="24"/>
                <w:szCs w:val="24"/>
                <w:rtl/>
              </w:rPr>
            </w:pPr>
            <w:r w:rsidRPr="00D575BC">
              <w:rPr>
                <w:b/>
                <w:bCs/>
                <w:sz w:val="24"/>
                <w:szCs w:val="24"/>
                <w:lang w:bidi="fa-IR"/>
              </w:rPr>
              <w:t>TNF-α (</w:t>
            </w:r>
            <w:proofErr w:type="spellStart"/>
            <w:r w:rsidRPr="00D575BC">
              <w:rPr>
                <w:b/>
                <w:bCs/>
                <w:sz w:val="24"/>
                <w:szCs w:val="24"/>
                <w:lang w:bidi="fa-IR"/>
              </w:rPr>
              <w:t>pg</w:t>
            </w:r>
            <w:proofErr w:type="spellEnd"/>
            <w:r w:rsidRPr="00D575BC">
              <w:rPr>
                <w:b/>
                <w:bCs/>
                <w:sz w:val="24"/>
                <w:szCs w:val="24"/>
                <w:lang w:bidi="fa-IR"/>
              </w:rPr>
              <w:t xml:space="preserve">/ml) </w:t>
            </w:r>
          </w:p>
        </w:tc>
        <w:tc>
          <w:tcPr>
            <w:tcW w:w="1846" w:type="dxa"/>
            <w:tcBorders>
              <w:top w:val="single" w:sz="4" w:space="0" w:color="auto"/>
              <w:bottom w:val="single" w:sz="4" w:space="0" w:color="auto"/>
            </w:tcBorders>
          </w:tcPr>
          <w:p w14:paraId="5EB2DBCD" w14:textId="77777777" w:rsidR="00CF69B3" w:rsidRPr="00D575BC" w:rsidRDefault="00CF69B3" w:rsidP="00187D58">
            <w:pPr>
              <w:pStyle w:val="a0"/>
              <w:jc w:val="center"/>
              <w:rPr>
                <w:sz w:val="24"/>
                <w:szCs w:val="24"/>
                <w:rtl/>
              </w:rPr>
            </w:pPr>
            <w:r w:rsidRPr="00D575BC">
              <w:rPr>
                <w:b/>
                <w:bCs/>
                <w:sz w:val="24"/>
                <w:szCs w:val="24"/>
                <w:lang w:bidi="fa-IR"/>
              </w:rPr>
              <w:t>IL-6 (</w:t>
            </w:r>
            <w:proofErr w:type="spellStart"/>
            <w:r w:rsidRPr="00D575BC">
              <w:rPr>
                <w:b/>
                <w:bCs/>
                <w:sz w:val="24"/>
                <w:szCs w:val="24"/>
                <w:lang w:bidi="fa-IR"/>
              </w:rPr>
              <w:t>pg</w:t>
            </w:r>
            <w:proofErr w:type="spellEnd"/>
            <w:r w:rsidRPr="00D575BC">
              <w:rPr>
                <w:b/>
                <w:bCs/>
                <w:sz w:val="24"/>
                <w:szCs w:val="24"/>
                <w:lang w:bidi="fa-IR"/>
              </w:rPr>
              <w:t xml:space="preserve">/ml) </w:t>
            </w:r>
          </w:p>
        </w:tc>
        <w:tc>
          <w:tcPr>
            <w:tcW w:w="2041" w:type="dxa"/>
            <w:tcBorders>
              <w:top w:val="single" w:sz="4" w:space="0" w:color="auto"/>
              <w:bottom w:val="single" w:sz="4" w:space="0" w:color="auto"/>
            </w:tcBorders>
          </w:tcPr>
          <w:p w14:paraId="0EA73625" w14:textId="77777777" w:rsidR="00CF69B3" w:rsidRPr="00D575BC" w:rsidRDefault="00CF69B3" w:rsidP="00187D58">
            <w:pPr>
              <w:pStyle w:val="a0"/>
              <w:jc w:val="center"/>
              <w:rPr>
                <w:sz w:val="24"/>
                <w:szCs w:val="24"/>
                <w:rtl/>
              </w:rPr>
            </w:pPr>
            <w:r w:rsidRPr="00D575BC">
              <w:rPr>
                <w:b/>
                <w:bCs/>
                <w:sz w:val="24"/>
                <w:szCs w:val="24"/>
                <w:lang w:bidi="fa-IR"/>
              </w:rPr>
              <w:t>MCP-1 (</w:t>
            </w:r>
            <w:proofErr w:type="spellStart"/>
            <w:r w:rsidRPr="00D575BC">
              <w:rPr>
                <w:b/>
                <w:bCs/>
                <w:sz w:val="24"/>
                <w:szCs w:val="24"/>
                <w:lang w:bidi="fa-IR"/>
              </w:rPr>
              <w:t>pg</w:t>
            </w:r>
            <w:proofErr w:type="spellEnd"/>
            <w:r w:rsidRPr="00D575BC">
              <w:rPr>
                <w:b/>
                <w:bCs/>
                <w:sz w:val="24"/>
                <w:szCs w:val="24"/>
                <w:lang w:bidi="fa-IR"/>
              </w:rPr>
              <w:t xml:space="preserve">/ml) </w:t>
            </w:r>
          </w:p>
        </w:tc>
      </w:tr>
      <w:tr w:rsidR="00CF69B3" w:rsidRPr="00D575BC" w14:paraId="1C51D3DF" w14:textId="77777777" w:rsidTr="00187D58">
        <w:trPr>
          <w:trHeight w:val="474"/>
          <w:jc w:val="center"/>
        </w:trPr>
        <w:tc>
          <w:tcPr>
            <w:tcW w:w="1743" w:type="dxa"/>
            <w:tcBorders>
              <w:top w:val="single" w:sz="4" w:space="0" w:color="auto"/>
            </w:tcBorders>
          </w:tcPr>
          <w:p w14:paraId="65CCC24A" w14:textId="77777777" w:rsidR="00CF69B3" w:rsidRPr="00D575BC" w:rsidRDefault="00CF69B3" w:rsidP="00187D58">
            <w:pPr>
              <w:pStyle w:val="a0"/>
              <w:jc w:val="center"/>
              <w:rPr>
                <w:sz w:val="24"/>
                <w:szCs w:val="24"/>
                <w:rtl/>
              </w:rPr>
            </w:pPr>
            <w:r w:rsidRPr="00D575BC">
              <w:rPr>
                <w:sz w:val="24"/>
                <w:szCs w:val="24"/>
                <w:rtl/>
              </w:rPr>
              <w:t>کنترل</w:t>
            </w:r>
          </w:p>
        </w:tc>
        <w:tc>
          <w:tcPr>
            <w:tcW w:w="1944" w:type="dxa"/>
            <w:tcBorders>
              <w:top w:val="single" w:sz="4" w:space="0" w:color="auto"/>
            </w:tcBorders>
          </w:tcPr>
          <w:p w14:paraId="7B467A87" w14:textId="77777777" w:rsidR="00CF69B3" w:rsidRPr="00D575BC" w:rsidRDefault="00CF69B3" w:rsidP="00187D58">
            <w:pPr>
              <w:pStyle w:val="a0"/>
              <w:jc w:val="center"/>
              <w:rPr>
                <w:sz w:val="24"/>
                <w:szCs w:val="24"/>
                <w:rtl/>
              </w:rPr>
            </w:pPr>
            <w:r w:rsidRPr="00D575BC">
              <w:rPr>
                <w:rFonts w:hint="cs"/>
                <w:sz w:val="24"/>
                <w:szCs w:val="24"/>
                <w:rtl/>
              </w:rPr>
              <w:t xml:space="preserve">1/2 </w:t>
            </w:r>
            <w:r w:rsidRPr="00D575BC">
              <w:rPr>
                <w:rFonts w:ascii="Cambria" w:hAnsi="Cambria" w:cs="Cambria" w:hint="cs"/>
                <w:sz w:val="24"/>
                <w:szCs w:val="24"/>
                <w:rtl/>
              </w:rPr>
              <w:t>±</w:t>
            </w:r>
            <w:r w:rsidRPr="00D575BC">
              <w:rPr>
                <w:rFonts w:hint="cs"/>
                <w:sz w:val="24"/>
                <w:szCs w:val="24"/>
                <w:rtl/>
              </w:rPr>
              <w:t xml:space="preserve"> 2/35</w:t>
            </w:r>
          </w:p>
        </w:tc>
        <w:tc>
          <w:tcPr>
            <w:tcW w:w="1846" w:type="dxa"/>
            <w:tcBorders>
              <w:top w:val="single" w:sz="4" w:space="0" w:color="auto"/>
            </w:tcBorders>
          </w:tcPr>
          <w:p w14:paraId="59D79197" w14:textId="77777777" w:rsidR="00CF69B3" w:rsidRPr="00D575BC" w:rsidRDefault="00CF69B3" w:rsidP="00187D58">
            <w:pPr>
              <w:pStyle w:val="a0"/>
              <w:jc w:val="center"/>
              <w:rPr>
                <w:sz w:val="24"/>
                <w:szCs w:val="24"/>
                <w:rtl/>
              </w:rPr>
            </w:pPr>
            <w:r w:rsidRPr="00D575BC">
              <w:rPr>
                <w:rFonts w:hint="cs"/>
                <w:sz w:val="24"/>
                <w:szCs w:val="24"/>
                <w:rtl/>
              </w:rPr>
              <w:t xml:space="preserve">8/2 </w:t>
            </w:r>
            <w:r w:rsidRPr="00D575BC">
              <w:rPr>
                <w:rFonts w:ascii="Cambria" w:hAnsi="Cambria" w:cs="Cambria" w:hint="cs"/>
                <w:sz w:val="24"/>
                <w:szCs w:val="24"/>
                <w:rtl/>
              </w:rPr>
              <w:t>±</w:t>
            </w:r>
            <w:r w:rsidRPr="00D575BC">
              <w:rPr>
                <w:rFonts w:hint="cs"/>
                <w:sz w:val="24"/>
                <w:szCs w:val="24"/>
                <w:rtl/>
              </w:rPr>
              <w:t xml:space="preserve"> 5/42</w:t>
            </w:r>
          </w:p>
        </w:tc>
        <w:tc>
          <w:tcPr>
            <w:tcW w:w="2041" w:type="dxa"/>
            <w:tcBorders>
              <w:top w:val="single" w:sz="4" w:space="0" w:color="auto"/>
            </w:tcBorders>
          </w:tcPr>
          <w:p w14:paraId="3DF93422" w14:textId="77777777" w:rsidR="00CF69B3" w:rsidRPr="00D575BC" w:rsidRDefault="00CF69B3" w:rsidP="00187D58">
            <w:pPr>
              <w:pStyle w:val="a0"/>
              <w:jc w:val="center"/>
              <w:rPr>
                <w:sz w:val="24"/>
                <w:szCs w:val="24"/>
                <w:rtl/>
              </w:rPr>
            </w:pPr>
            <w:r w:rsidRPr="00D575BC">
              <w:rPr>
                <w:rFonts w:hint="cs"/>
                <w:sz w:val="24"/>
                <w:szCs w:val="24"/>
                <w:rtl/>
              </w:rPr>
              <w:t xml:space="preserve">9/1 </w:t>
            </w:r>
            <w:r w:rsidRPr="00D575BC">
              <w:rPr>
                <w:rFonts w:ascii="Cambria" w:hAnsi="Cambria" w:cs="Cambria" w:hint="cs"/>
                <w:sz w:val="24"/>
                <w:szCs w:val="24"/>
                <w:rtl/>
              </w:rPr>
              <w:t>±</w:t>
            </w:r>
            <w:r w:rsidRPr="00D575BC">
              <w:rPr>
                <w:rFonts w:hint="cs"/>
                <w:sz w:val="24"/>
                <w:szCs w:val="24"/>
                <w:rtl/>
              </w:rPr>
              <w:t xml:space="preserve"> 7/28</w:t>
            </w:r>
          </w:p>
        </w:tc>
      </w:tr>
      <w:tr w:rsidR="00CF69B3" w:rsidRPr="00D575BC" w14:paraId="70572244" w14:textId="77777777" w:rsidTr="00187D58">
        <w:trPr>
          <w:trHeight w:val="479"/>
          <w:jc w:val="center"/>
        </w:trPr>
        <w:tc>
          <w:tcPr>
            <w:tcW w:w="1743" w:type="dxa"/>
          </w:tcPr>
          <w:p w14:paraId="0A39CB7C" w14:textId="77777777" w:rsidR="00CF69B3" w:rsidRPr="00D575BC" w:rsidRDefault="00CF69B3" w:rsidP="00187D58">
            <w:pPr>
              <w:pStyle w:val="a0"/>
              <w:jc w:val="center"/>
              <w:rPr>
                <w:sz w:val="24"/>
                <w:szCs w:val="24"/>
                <w:rtl/>
              </w:rPr>
            </w:pPr>
            <w:r w:rsidRPr="00D575BC">
              <w:rPr>
                <w:sz w:val="24"/>
                <w:szCs w:val="24"/>
                <w:rtl/>
              </w:rPr>
              <w:t>درمان 1</w:t>
            </w:r>
            <w:r w:rsidRPr="00D575BC">
              <w:rPr>
                <w:sz w:val="24"/>
                <w:szCs w:val="24"/>
                <w:lang w:bidi="fa-IR"/>
              </w:rPr>
              <w:t xml:space="preserve"> </w:t>
            </w:r>
          </w:p>
        </w:tc>
        <w:tc>
          <w:tcPr>
            <w:tcW w:w="1944" w:type="dxa"/>
          </w:tcPr>
          <w:p w14:paraId="664013BC" w14:textId="77777777" w:rsidR="00CF69B3" w:rsidRPr="00D575BC" w:rsidRDefault="00CF69B3" w:rsidP="00187D58">
            <w:pPr>
              <w:pStyle w:val="a0"/>
              <w:jc w:val="center"/>
              <w:rPr>
                <w:sz w:val="24"/>
                <w:szCs w:val="24"/>
                <w:rtl/>
              </w:rPr>
            </w:pPr>
            <w:r w:rsidRPr="00D575BC">
              <w:rPr>
                <w:rFonts w:hint="cs"/>
                <w:sz w:val="24"/>
                <w:szCs w:val="24"/>
                <w:rtl/>
              </w:rPr>
              <w:t xml:space="preserve">7/1 </w:t>
            </w:r>
            <w:r w:rsidRPr="00D575BC">
              <w:rPr>
                <w:rFonts w:ascii="Cambria" w:hAnsi="Cambria" w:cs="Cambria" w:hint="cs"/>
                <w:sz w:val="24"/>
                <w:szCs w:val="24"/>
                <w:rtl/>
              </w:rPr>
              <w:t>±</w:t>
            </w:r>
            <w:r w:rsidRPr="00D575BC">
              <w:rPr>
                <w:rFonts w:hint="cs"/>
                <w:sz w:val="24"/>
                <w:szCs w:val="24"/>
                <w:rtl/>
              </w:rPr>
              <w:t xml:space="preserve"> 4/22</w:t>
            </w:r>
          </w:p>
        </w:tc>
        <w:tc>
          <w:tcPr>
            <w:tcW w:w="1846" w:type="dxa"/>
          </w:tcPr>
          <w:p w14:paraId="4341FC46" w14:textId="77777777" w:rsidR="00CF69B3" w:rsidRPr="00D575BC" w:rsidRDefault="00CF69B3" w:rsidP="00187D58">
            <w:pPr>
              <w:pStyle w:val="a0"/>
              <w:jc w:val="center"/>
              <w:rPr>
                <w:sz w:val="24"/>
                <w:szCs w:val="24"/>
                <w:rtl/>
              </w:rPr>
            </w:pPr>
            <w:r w:rsidRPr="00D575BC">
              <w:rPr>
                <w:rFonts w:hint="cs"/>
                <w:sz w:val="24"/>
                <w:szCs w:val="24"/>
                <w:rtl/>
              </w:rPr>
              <w:t xml:space="preserve">0/2 </w:t>
            </w:r>
            <w:r w:rsidRPr="00D575BC">
              <w:rPr>
                <w:rFonts w:ascii="Cambria" w:hAnsi="Cambria" w:cs="Cambria" w:hint="cs"/>
                <w:sz w:val="24"/>
                <w:szCs w:val="24"/>
                <w:rtl/>
              </w:rPr>
              <w:t>±</w:t>
            </w:r>
            <w:r w:rsidRPr="00D575BC">
              <w:rPr>
                <w:rFonts w:hint="cs"/>
                <w:sz w:val="24"/>
                <w:szCs w:val="24"/>
                <w:rtl/>
              </w:rPr>
              <w:t xml:space="preserve"> 6/25</w:t>
            </w:r>
          </w:p>
        </w:tc>
        <w:tc>
          <w:tcPr>
            <w:tcW w:w="2041" w:type="dxa"/>
          </w:tcPr>
          <w:p w14:paraId="5577CF43" w14:textId="77777777" w:rsidR="00CF69B3" w:rsidRPr="00D575BC" w:rsidRDefault="00CF69B3" w:rsidP="00187D58">
            <w:pPr>
              <w:pStyle w:val="a0"/>
              <w:jc w:val="center"/>
              <w:rPr>
                <w:sz w:val="24"/>
                <w:szCs w:val="24"/>
                <w:rtl/>
              </w:rPr>
            </w:pPr>
            <w:r w:rsidRPr="00D575BC">
              <w:rPr>
                <w:rFonts w:hint="cs"/>
                <w:sz w:val="24"/>
                <w:szCs w:val="24"/>
                <w:rtl/>
              </w:rPr>
              <w:t xml:space="preserve">5/1 </w:t>
            </w:r>
            <w:r w:rsidRPr="00D575BC">
              <w:rPr>
                <w:rFonts w:ascii="Cambria" w:hAnsi="Cambria" w:cs="Cambria" w:hint="cs"/>
                <w:sz w:val="24"/>
                <w:szCs w:val="24"/>
                <w:rtl/>
              </w:rPr>
              <w:t>±</w:t>
            </w:r>
            <w:r w:rsidRPr="00D575BC">
              <w:rPr>
                <w:rFonts w:hint="cs"/>
                <w:sz w:val="24"/>
                <w:szCs w:val="24"/>
                <w:rtl/>
              </w:rPr>
              <w:t xml:space="preserve"> 9/18</w:t>
            </w:r>
          </w:p>
        </w:tc>
      </w:tr>
      <w:tr w:rsidR="00CF69B3" w:rsidRPr="00D575BC" w14:paraId="23FD8127" w14:textId="77777777" w:rsidTr="00187D58">
        <w:trPr>
          <w:trHeight w:val="474"/>
          <w:jc w:val="center"/>
        </w:trPr>
        <w:tc>
          <w:tcPr>
            <w:tcW w:w="1743" w:type="dxa"/>
          </w:tcPr>
          <w:p w14:paraId="59CA7E3E" w14:textId="77777777" w:rsidR="00CF69B3" w:rsidRPr="00D575BC" w:rsidRDefault="00CF69B3" w:rsidP="00187D58">
            <w:pPr>
              <w:pStyle w:val="a0"/>
              <w:jc w:val="center"/>
              <w:rPr>
                <w:sz w:val="24"/>
                <w:szCs w:val="24"/>
                <w:rtl/>
              </w:rPr>
            </w:pPr>
            <w:r w:rsidRPr="00D575BC">
              <w:rPr>
                <w:sz w:val="24"/>
                <w:szCs w:val="24"/>
                <w:rtl/>
              </w:rPr>
              <w:t>سالمند</w:t>
            </w:r>
            <w:r w:rsidRPr="00D575BC">
              <w:rPr>
                <w:sz w:val="24"/>
                <w:szCs w:val="24"/>
                <w:lang w:bidi="fa-IR"/>
              </w:rPr>
              <w:t xml:space="preserve"> </w:t>
            </w:r>
          </w:p>
        </w:tc>
        <w:tc>
          <w:tcPr>
            <w:tcW w:w="1944" w:type="dxa"/>
          </w:tcPr>
          <w:p w14:paraId="4859EDF5" w14:textId="77777777" w:rsidR="00CF69B3" w:rsidRPr="00D575BC" w:rsidRDefault="00CF69B3" w:rsidP="00187D58">
            <w:pPr>
              <w:pStyle w:val="a0"/>
              <w:jc w:val="center"/>
              <w:rPr>
                <w:sz w:val="24"/>
                <w:szCs w:val="24"/>
                <w:rtl/>
              </w:rPr>
            </w:pPr>
            <w:r w:rsidRPr="00D575BC">
              <w:rPr>
                <w:rFonts w:hint="cs"/>
                <w:sz w:val="24"/>
                <w:szCs w:val="24"/>
                <w:rtl/>
              </w:rPr>
              <w:t xml:space="preserve">5/3 </w:t>
            </w:r>
            <w:r w:rsidRPr="00D575BC">
              <w:rPr>
                <w:rFonts w:ascii="Cambria" w:hAnsi="Cambria" w:cs="Cambria" w:hint="cs"/>
                <w:sz w:val="24"/>
                <w:szCs w:val="24"/>
                <w:rtl/>
              </w:rPr>
              <w:t>±</w:t>
            </w:r>
            <w:r w:rsidRPr="00D575BC">
              <w:rPr>
                <w:rFonts w:hint="cs"/>
                <w:sz w:val="24"/>
                <w:szCs w:val="24"/>
                <w:rtl/>
              </w:rPr>
              <w:t xml:space="preserve"> 9/68</w:t>
            </w:r>
          </w:p>
        </w:tc>
        <w:tc>
          <w:tcPr>
            <w:tcW w:w="1846" w:type="dxa"/>
          </w:tcPr>
          <w:p w14:paraId="3D0ABD40" w14:textId="77777777" w:rsidR="00CF69B3" w:rsidRPr="00D575BC" w:rsidRDefault="00CF69B3" w:rsidP="00187D58">
            <w:pPr>
              <w:pStyle w:val="a0"/>
              <w:jc w:val="center"/>
              <w:rPr>
                <w:sz w:val="24"/>
                <w:szCs w:val="24"/>
                <w:rtl/>
              </w:rPr>
            </w:pPr>
            <w:r w:rsidRPr="00D575BC">
              <w:rPr>
                <w:rFonts w:hint="cs"/>
                <w:sz w:val="24"/>
                <w:szCs w:val="24"/>
                <w:rtl/>
              </w:rPr>
              <w:t xml:space="preserve">1/4 </w:t>
            </w:r>
            <w:r w:rsidRPr="00D575BC">
              <w:rPr>
                <w:rFonts w:ascii="Cambria" w:hAnsi="Cambria" w:cs="Cambria" w:hint="cs"/>
                <w:sz w:val="24"/>
                <w:szCs w:val="24"/>
                <w:rtl/>
              </w:rPr>
              <w:t>±</w:t>
            </w:r>
            <w:r w:rsidRPr="00D575BC">
              <w:rPr>
                <w:rFonts w:hint="cs"/>
                <w:sz w:val="24"/>
                <w:szCs w:val="24"/>
                <w:rtl/>
              </w:rPr>
              <w:t xml:space="preserve"> 2/75</w:t>
            </w:r>
          </w:p>
        </w:tc>
        <w:tc>
          <w:tcPr>
            <w:tcW w:w="2041" w:type="dxa"/>
          </w:tcPr>
          <w:p w14:paraId="600B13A5" w14:textId="77777777" w:rsidR="00CF69B3" w:rsidRPr="00D575BC" w:rsidRDefault="00CF69B3" w:rsidP="00187D58">
            <w:pPr>
              <w:pStyle w:val="a0"/>
              <w:jc w:val="center"/>
              <w:rPr>
                <w:sz w:val="24"/>
                <w:szCs w:val="24"/>
                <w:rtl/>
              </w:rPr>
            </w:pPr>
            <w:r w:rsidRPr="00D575BC">
              <w:rPr>
                <w:rFonts w:hint="cs"/>
                <w:sz w:val="24"/>
                <w:szCs w:val="24"/>
                <w:rtl/>
              </w:rPr>
              <w:t xml:space="preserve">2/3 </w:t>
            </w:r>
            <w:r w:rsidRPr="00D575BC">
              <w:rPr>
                <w:rFonts w:ascii="Cambria" w:hAnsi="Cambria" w:cs="Cambria" w:hint="cs"/>
                <w:sz w:val="24"/>
                <w:szCs w:val="24"/>
                <w:rtl/>
              </w:rPr>
              <w:t>±</w:t>
            </w:r>
            <w:r w:rsidRPr="00D575BC">
              <w:rPr>
                <w:rFonts w:hint="cs"/>
                <w:sz w:val="24"/>
                <w:szCs w:val="24"/>
                <w:rtl/>
              </w:rPr>
              <w:t xml:space="preserve"> 8/59</w:t>
            </w:r>
          </w:p>
        </w:tc>
      </w:tr>
      <w:tr w:rsidR="00CF69B3" w:rsidRPr="00D575BC" w14:paraId="1B15B736" w14:textId="77777777" w:rsidTr="00187D58">
        <w:trPr>
          <w:trHeight w:val="479"/>
          <w:jc w:val="center"/>
        </w:trPr>
        <w:tc>
          <w:tcPr>
            <w:tcW w:w="1743" w:type="dxa"/>
          </w:tcPr>
          <w:p w14:paraId="4F507156" w14:textId="77777777" w:rsidR="00CF69B3" w:rsidRPr="00D575BC" w:rsidRDefault="00CF69B3" w:rsidP="00187D58">
            <w:pPr>
              <w:pStyle w:val="a0"/>
              <w:jc w:val="center"/>
              <w:rPr>
                <w:sz w:val="24"/>
                <w:szCs w:val="24"/>
                <w:rtl/>
              </w:rPr>
            </w:pPr>
            <w:r w:rsidRPr="00D575BC">
              <w:rPr>
                <w:sz w:val="24"/>
                <w:szCs w:val="24"/>
                <w:rtl/>
              </w:rPr>
              <w:t>درمان 2</w:t>
            </w:r>
          </w:p>
        </w:tc>
        <w:tc>
          <w:tcPr>
            <w:tcW w:w="1944" w:type="dxa"/>
          </w:tcPr>
          <w:p w14:paraId="5C18C49C" w14:textId="77777777" w:rsidR="00CF69B3" w:rsidRPr="00D575BC" w:rsidRDefault="00CF69B3" w:rsidP="00187D58">
            <w:pPr>
              <w:pStyle w:val="a0"/>
              <w:jc w:val="center"/>
              <w:rPr>
                <w:sz w:val="24"/>
                <w:szCs w:val="24"/>
                <w:rtl/>
              </w:rPr>
            </w:pPr>
            <w:r w:rsidRPr="00D575BC">
              <w:rPr>
                <w:rFonts w:hint="cs"/>
                <w:sz w:val="24"/>
                <w:szCs w:val="24"/>
                <w:rtl/>
              </w:rPr>
              <w:t xml:space="preserve">4/2 </w:t>
            </w:r>
            <w:r w:rsidRPr="00D575BC">
              <w:rPr>
                <w:rFonts w:ascii="Cambria" w:hAnsi="Cambria" w:cs="Cambria" w:hint="cs"/>
                <w:sz w:val="24"/>
                <w:szCs w:val="24"/>
                <w:rtl/>
              </w:rPr>
              <w:t>±</w:t>
            </w:r>
            <w:r w:rsidRPr="00D575BC">
              <w:rPr>
                <w:rFonts w:hint="cs"/>
                <w:sz w:val="24"/>
                <w:szCs w:val="24"/>
                <w:rtl/>
              </w:rPr>
              <w:t xml:space="preserve"> 7/37</w:t>
            </w:r>
          </w:p>
        </w:tc>
        <w:tc>
          <w:tcPr>
            <w:tcW w:w="1846" w:type="dxa"/>
          </w:tcPr>
          <w:p w14:paraId="3D3B82BE" w14:textId="77777777" w:rsidR="00CF69B3" w:rsidRPr="00D575BC" w:rsidRDefault="00CF69B3" w:rsidP="00187D58">
            <w:pPr>
              <w:pStyle w:val="a0"/>
              <w:jc w:val="center"/>
              <w:rPr>
                <w:sz w:val="24"/>
                <w:szCs w:val="24"/>
                <w:rtl/>
              </w:rPr>
            </w:pPr>
            <w:r w:rsidRPr="00D575BC">
              <w:rPr>
                <w:rFonts w:hint="cs"/>
                <w:sz w:val="24"/>
                <w:szCs w:val="24"/>
                <w:rtl/>
              </w:rPr>
              <w:t xml:space="preserve">7/2 </w:t>
            </w:r>
            <w:r w:rsidRPr="00D575BC">
              <w:rPr>
                <w:rFonts w:ascii="Cambria" w:hAnsi="Cambria" w:cs="Cambria" w:hint="cs"/>
                <w:sz w:val="24"/>
                <w:szCs w:val="24"/>
                <w:rtl/>
              </w:rPr>
              <w:t>±</w:t>
            </w:r>
            <w:r w:rsidRPr="00D575BC">
              <w:rPr>
                <w:rFonts w:hint="cs"/>
                <w:sz w:val="24"/>
                <w:szCs w:val="24"/>
                <w:rtl/>
              </w:rPr>
              <w:t xml:space="preserve"> 1/44</w:t>
            </w:r>
          </w:p>
        </w:tc>
        <w:tc>
          <w:tcPr>
            <w:tcW w:w="2041" w:type="dxa"/>
          </w:tcPr>
          <w:p w14:paraId="2F138658" w14:textId="77777777" w:rsidR="00CF69B3" w:rsidRPr="00D575BC" w:rsidRDefault="00CF69B3" w:rsidP="00187D58">
            <w:pPr>
              <w:pStyle w:val="a0"/>
              <w:jc w:val="center"/>
              <w:rPr>
                <w:sz w:val="24"/>
                <w:szCs w:val="24"/>
                <w:rtl/>
              </w:rPr>
            </w:pPr>
            <w:r w:rsidRPr="00D575BC">
              <w:rPr>
                <w:rFonts w:hint="cs"/>
                <w:sz w:val="24"/>
                <w:szCs w:val="24"/>
                <w:rtl/>
              </w:rPr>
              <w:t xml:space="preserve">0/2 </w:t>
            </w:r>
            <w:r w:rsidRPr="00D575BC">
              <w:rPr>
                <w:rFonts w:ascii="Cambria" w:hAnsi="Cambria" w:cs="Cambria" w:hint="cs"/>
                <w:sz w:val="24"/>
                <w:szCs w:val="24"/>
                <w:rtl/>
              </w:rPr>
              <w:t>±</w:t>
            </w:r>
            <w:r w:rsidRPr="00D575BC">
              <w:rPr>
                <w:rFonts w:hint="cs"/>
                <w:sz w:val="24"/>
                <w:szCs w:val="24"/>
                <w:rtl/>
              </w:rPr>
              <w:t xml:space="preserve"> 5/30</w:t>
            </w:r>
          </w:p>
        </w:tc>
      </w:tr>
      <w:tr w:rsidR="00CF69B3" w:rsidRPr="00D575BC" w14:paraId="1DF30C78" w14:textId="77777777" w:rsidTr="00187D58">
        <w:trPr>
          <w:trHeight w:val="474"/>
          <w:jc w:val="center"/>
        </w:trPr>
        <w:tc>
          <w:tcPr>
            <w:tcW w:w="1743" w:type="dxa"/>
          </w:tcPr>
          <w:p w14:paraId="2B2252E8" w14:textId="77777777" w:rsidR="00CF69B3" w:rsidRPr="00D575BC" w:rsidRDefault="00CF69B3" w:rsidP="00187D58">
            <w:pPr>
              <w:pStyle w:val="a0"/>
              <w:jc w:val="center"/>
              <w:rPr>
                <w:sz w:val="24"/>
                <w:szCs w:val="24"/>
                <w:rtl/>
              </w:rPr>
            </w:pPr>
            <w:r w:rsidRPr="00D575BC">
              <w:rPr>
                <w:rFonts w:hint="cs"/>
                <w:sz w:val="24"/>
                <w:szCs w:val="24"/>
                <w:rtl/>
                <w:lang w:bidi="fa-IR"/>
              </w:rPr>
              <w:t>آماره آزمون</w:t>
            </w:r>
          </w:p>
        </w:tc>
        <w:tc>
          <w:tcPr>
            <w:tcW w:w="1944" w:type="dxa"/>
          </w:tcPr>
          <w:p w14:paraId="5ED36246" w14:textId="77777777" w:rsidR="00CF69B3" w:rsidRPr="00D575BC" w:rsidRDefault="00CF69B3" w:rsidP="00187D58">
            <w:pPr>
              <w:pStyle w:val="a0"/>
              <w:jc w:val="center"/>
              <w:rPr>
                <w:sz w:val="24"/>
                <w:szCs w:val="24"/>
                <w:rtl/>
              </w:rPr>
            </w:pPr>
            <w:r w:rsidRPr="00D575BC">
              <w:rPr>
                <w:rFonts w:hint="cs"/>
                <w:sz w:val="24"/>
                <w:szCs w:val="24"/>
                <w:rtl/>
              </w:rPr>
              <w:t>6/15</w:t>
            </w:r>
          </w:p>
        </w:tc>
        <w:tc>
          <w:tcPr>
            <w:tcW w:w="1846" w:type="dxa"/>
          </w:tcPr>
          <w:p w14:paraId="6E6E0905" w14:textId="77777777" w:rsidR="00CF69B3" w:rsidRPr="00D575BC" w:rsidRDefault="00CF69B3" w:rsidP="00187D58">
            <w:pPr>
              <w:pStyle w:val="a0"/>
              <w:jc w:val="center"/>
              <w:rPr>
                <w:sz w:val="24"/>
                <w:szCs w:val="24"/>
                <w:rtl/>
              </w:rPr>
            </w:pPr>
            <w:r w:rsidRPr="00D575BC">
              <w:rPr>
                <w:rFonts w:hint="cs"/>
                <w:sz w:val="24"/>
                <w:szCs w:val="24"/>
                <w:rtl/>
              </w:rPr>
              <w:t>9/18</w:t>
            </w:r>
          </w:p>
        </w:tc>
        <w:tc>
          <w:tcPr>
            <w:tcW w:w="2041" w:type="dxa"/>
          </w:tcPr>
          <w:p w14:paraId="0E5CECBF" w14:textId="77777777" w:rsidR="00CF69B3" w:rsidRPr="00D575BC" w:rsidRDefault="00CF69B3" w:rsidP="00187D58">
            <w:pPr>
              <w:pStyle w:val="a0"/>
              <w:jc w:val="center"/>
              <w:rPr>
                <w:sz w:val="24"/>
                <w:szCs w:val="24"/>
                <w:rtl/>
              </w:rPr>
            </w:pPr>
            <w:r w:rsidRPr="00D575BC">
              <w:rPr>
                <w:rFonts w:hint="cs"/>
                <w:sz w:val="24"/>
                <w:szCs w:val="24"/>
                <w:rtl/>
              </w:rPr>
              <w:t>3/12</w:t>
            </w:r>
          </w:p>
        </w:tc>
      </w:tr>
      <w:tr w:rsidR="00CF69B3" w:rsidRPr="00D575BC" w14:paraId="40B8A699" w14:textId="77777777" w:rsidTr="00187D58">
        <w:trPr>
          <w:trHeight w:val="479"/>
          <w:jc w:val="center"/>
        </w:trPr>
        <w:tc>
          <w:tcPr>
            <w:tcW w:w="1743" w:type="dxa"/>
            <w:tcBorders>
              <w:bottom w:val="single" w:sz="4" w:space="0" w:color="auto"/>
            </w:tcBorders>
          </w:tcPr>
          <w:p w14:paraId="10320A19" w14:textId="77777777" w:rsidR="00CF69B3" w:rsidRPr="00D575BC" w:rsidRDefault="00CF69B3" w:rsidP="00187D58">
            <w:pPr>
              <w:pStyle w:val="a0"/>
              <w:jc w:val="center"/>
              <w:rPr>
                <w:sz w:val="24"/>
                <w:szCs w:val="24"/>
                <w:rtl/>
              </w:rPr>
            </w:pPr>
            <w:r w:rsidRPr="00D575BC">
              <w:rPr>
                <w:sz w:val="24"/>
                <w:szCs w:val="24"/>
              </w:rPr>
              <w:t>P-value</w:t>
            </w:r>
          </w:p>
        </w:tc>
        <w:tc>
          <w:tcPr>
            <w:tcW w:w="1944" w:type="dxa"/>
            <w:tcBorders>
              <w:bottom w:val="single" w:sz="4" w:space="0" w:color="auto"/>
            </w:tcBorders>
          </w:tcPr>
          <w:p w14:paraId="6ABA24E4" w14:textId="77777777" w:rsidR="00CF69B3" w:rsidRPr="00D575BC" w:rsidRDefault="00CF69B3" w:rsidP="00187D58">
            <w:pPr>
              <w:pStyle w:val="a0"/>
              <w:jc w:val="center"/>
              <w:rPr>
                <w:sz w:val="24"/>
                <w:szCs w:val="24"/>
                <w:rtl/>
              </w:rPr>
            </w:pPr>
            <w:r w:rsidRPr="00D575BC">
              <w:rPr>
                <w:rFonts w:hint="cs"/>
                <w:sz w:val="24"/>
                <w:szCs w:val="24"/>
                <w:rtl/>
              </w:rPr>
              <w:t>001/0</w:t>
            </w:r>
          </w:p>
        </w:tc>
        <w:tc>
          <w:tcPr>
            <w:tcW w:w="1846" w:type="dxa"/>
            <w:tcBorders>
              <w:bottom w:val="single" w:sz="4" w:space="0" w:color="auto"/>
            </w:tcBorders>
          </w:tcPr>
          <w:p w14:paraId="0226276F" w14:textId="77777777" w:rsidR="00CF69B3" w:rsidRPr="00D575BC" w:rsidRDefault="00CF69B3" w:rsidP="00187D58">
            <w:pPr>
              <w:pStyle w:val="a0"/>
              <w:jc w:val="center"/>
              <w:rPr>
                <w:sz w:val="24"/>
                <w:szCs w:val="24"/>
                <w:rtl/>
              </w:rPr>
            </w:pPr>
            <w:r w:rsidRPr="00D575BC">
              <w:rPr>
                <w:rFonts w:hint="cs"/>
                <w:sz w:val="24"/>
                <w:szCs w:val="24"/>
                <w:rtl/>
              </w:rPr>
              <w:t>001/0</w:t>
            </w:r>
          </w:p>
        </w:tc>
        <w:tc>
          <w:tcPr>
            <w:tcW w:w="2041" w:type="dxa"/>
            <w:tcBorders>
              <w:bottom w:val="single" w:sz="4" w:space="0" w:color="auto"/>
            </w:tcBorders>
          </w:tcPr>
          <w:p w14:paraId="0CC37052" w14:textId="77777777" w:rsidR="00CF69B3" w:rsidRPr="00D575BC" w:rsidRDefault="00CF69B3" w:rsidP="00187D58">
            <w:pPr>
              <w:pStyle w:val="a0"/>
              <w:jc w:val="center"/>
              <w:rPr>
                <w:sz w:val="24"/>
                <w:szCs w:val="24"/>
                <w:rtl/>
              </w:rPr>
            </w:pPr>
            <w:r w:rsidRPr="00D575BC">
              <w:rPr>
                <w:rFonts w:hint="cs"/>
                <w:sz w:val="24"/>
                <w:szCs w:val="24"/>
                <w:rtl/>
              </w:rPr>
              <w:t>01/0</w:t>
            </w:r>
          </w:p>
        </w:tc>
      </w:tr>
    </w:tbl>
    <w:p w14:paraId="06DC1DE2" w14:textId="77777777" w:rsidR="00CF69B3" w:rsidRPr="00D575BC" w:rsidRDefault="00CF69B3" w:rsidP="00CF69B3">
      <w:pPr>
        <w:pStyle w:val="a0"/>
        <w:rPr>
          <w:sz w:val="24"/>
          <w:szCs w:val="24"/>
          <w:rtl/>
          <w:lang w:bidi="fa-IR"/>
        </w:rPr>
      </w:pPr>
    </w:p>
    <w:p w14:paraId="45731748" w14:textId="77777777" w:rsidR="00CF69B3" w:rsidRPr="00D575BC" w:rsidRDefault="00CF69B3" w:rsidP="00CF69B3">
      <w:pPr>
        <w:pStyle w:val="a0"/>
        <w:jc w:val="left"/>
        <w:rPr>
          <w:b/>
          <w:bCs/>
          <w:sz w:val="24"/>
          <w:szCs w:val="24"/>
          <w:rtl/>
          <w:lang w:bidi="fa-IR"/>
        </w:rPr>
      </w:pPr>
      <w:r w:rsidRPr="00D575BC">
        <w:rPr>
          <w:rFonts w:hint="cs"/>
          <w:b/>
          <w:bCs/>
          <w:sz w:val="24"/>
          <w:szCs w:val="24"/>
          <w:rtl/>
          <w:lang w:bidi="fa-IR"/>
        </w:rPr>
        <w:t xml:space="preserve">بحث </w:t>
      </w:r>
    </w:p>
    <w:p w14:paraId="6B50F720" w14:textId="77777777" w:rsidR="00CF69B3" w:rsidRPr="00D575BC" w:rsidRDefault="00CF69B3" w:rsidP="00CF69B3">
      <w:pPr>
        <w:pStyle w:val="a0"/>
        <w:rPr>
          <w:sz w:val="24"/>
          <w:szCs w:val="24"/>
        </w:rPr>
      </w:pPr>
      <w:r w:rsidRPr="00D575BC">
        <w:rPr>
          <w:sz w:val="24"/>
          <w:szCs w:val="24"/>
          <w:rtl/>
        </w:rPr>
        <w:t xml:space="preserve">با توجه به این‌که اثرات ضدالتهابی </w:t>
      </w:r>
      <w:r w:rsidRPr="00D575BC">
        <w:rPr>
          <w:sz w:val="24"/>
          <w:szCs w:val="24"/>
        </w:rPr>
        <w:t>EGCG</w:t>
      </w:r>
      <w:r w:rsidRPr="00D575BC">
        <w:rPr>
          <w:rFonts w:hint="cs"/>
          <w:sz w:val="24"/>
          <w:szCs w:val="24"/>
          <w:rtl/>
        </w:rPr>
        <w:t xml:space="preserve"> </w:t>
      </w:r>
      <w:r w:rsidRPr="00D575BC">
        <w:rPr>
          <w:sz w:val="24"/>
          <w:szCs w:val="24"/>
          <w:rtl/>
        </w:rPr>
        <w:t xml:space="preserve">در تنظیم بیان کموکاین‌هایی مانند </w:t>
      </w:r>
      <w:r w:rsidRPr="00D575BC">
        <w:rPr>
          <w:sz w:val="24"/>
          <w:szCs w:val="24"/>
        </w:rPr>
        <w:t>CXCL1</w:t>
      </w:r>
      <w:r w:rsidRPr="00D575BC">
        <w:rPr>
          <w:sz w:val="24"/>
          <w:szCs w:val="24"/>
          <w:rtl/>
        </w:rPr>
        <w:t>، به</w:t>
      </w:r>
      <w:r w:rsidRPr="00D575BC">
        <w:rPr>
          <w:rFonts w:hint="cs"/>
          <w:sz w:val="24"/>
          <w:szCs w:val="24"/>
          <w:rtl/>
        </w:rPr>
        <w:t xml:space="preserve"> </w:t>
      </w:r>
      <w:r w:rsidRPr="00D575BC">
        <w:rPr>
          <w:sz w:val="24"/>
          <w:szCs w:val="24"/>
          <w:rtl/>
        </w:rPr>
        <w:t>‌ویژه در بافت کبد و در شرایط سالمندی، تاکنون به</w:t>
      </w:r>
      <w:r w:rsidRPr="00D575BC">
        <w:rPr>
          <w:rFonts w:hint="cs"/>
          <w:sz w:val="24"/>
          <w:szCs w:val="24"/>
          <w:rtl/>
        </w:rPr>
        <w:t xml:space="preserve"> </w:t>
      </w:r>
      <w:r w:rsidRPr="00D575BC">
        <w:rPr>
          <w:sz w:val="24"/>
          <w:szCs w:val="24"/>
          <w:rtl/>
        </w:rPr>
        <w:t>‌طور کامل مشخص نشده است، در این مطالعه اثر</w:t>
      </w:r>
      <w:r w:rsidRPr="00D575BC">
        <w:rPr>
          <w:sz w:val="24"/>
          <w:szCs w:val="24"/>
        </w:rPr>
        <w:t xml:space="preserve"> EGCG </w:t>
      </w:r>
      <w:r w:rsidRPr="00D575BC">
        <w:rPr>
          <w:sz w:val="24"/>
          <w:szCs w:val="24"/>
          <w:rtl/>
        </w:rPr>
        <w:t>بر بیان</w:t>
      </w:r>
      <w:r w:rsidRPr="00D575BC">
        <w:rPr>
          <w:sz w:val="24"/>
          <w:szCs w:val="24"/>
        </w:rPr>
        <w:t xml:space="preserve"> CXCL1 </w:t>
      </w:r>
      <w:r w:rsidRPr="00D575BC">
        <w:rPr>
          <w:sz w:val="24"/>
          <w:szCs w:val="24"/>
          <w:rtl/>
        </w:rPr>
        <w:t>در کبد رت‌های سالمند مورد بررسی قرار گرفت. نتایج نشان داد که بیان ژن</w:t>
      </w:r>
      <w:r w:rsidRPr="00D575BC">
        <w:rPr>
          <w:sz w:val="24"/>
          <w:szCs w:val="24"/>
        </w:rPr>
        <w:t xml:space="preserve"> CXCL1 </w:t>
      </w:r>
      <w:r w:rsidRPr="00D575BC">
        <w:rPr>
          <w:sz w:val="24"/>
          <w:szCs w:val="24"/>
          <w:rtl/>
        </w:rPr>
        <w:t xml:space="preserve">و همچنین سطوح سیتوکین‌های التهابی </w:t>
      </w:r>
      <w:r w:rsidRPr="00D575BC">
        <w:rPr>
          <w:sz w:val="24"/>
          <w:szCs w:val="24"/>
        </w:rPr>
        <w:t>TNF-α</w:t>
      </w:r>
      <w:r w:rsidRPr="00D575BC">
        <w:rPr>
          <w:sz w:val="24"/>
          <w:szCs w:val="24"/>
          <w:rtl/>
        </w:rPr>
        <w:t xml:space="preserve">، </w:t>
      </w:r>
      <w:r w:rsidRPr="00D575BC">
        <w:rPr>
          <w:sz w:val="24"/>
          <w:szCs w:val="24"/>
        </w:rPr>
        <w:t>IL-6</w:t>
      </w:r>
      <w:r w:rsidRPr="00D575BC">
        <w:rPr>
          <w:rFonts w:hint="cs"/>
          <w:sz w:val="24"/>
          <w:szCs w:val="24"/>
          <w:rtl/>
        </w:rPr>
        <w:t xml:space="preserve"> </w:t>
      </w:r>
      <w:r w:rsidRPr="00D575BC">
        <w:rPr>
          <w:sz w:val="24"/>
          <w:szCs w:val="24"/>
          <w:rtl/>
        </w:rPr>
        <w:t>و</w:t>
      </w:r>
      <w:r w:rsidRPr="00D575BC">
        <w:rPr>
          <w:sz w:val="24"/>
          <w:szCs w:val="24"/>
        </w:rPr>
        <w:t xml:space="preserve"> MCP-1 </w:t>
      </w:r>
      <w:r w:rsidRPr="00D575BC">
        <w:rPr>
          <w:sz w:val="24"/>
          <w:szCs w:val="24"/>
          <w:rtl/>
        </w:rPr>
        <w:t>در بافت کبد تحت شرایط مختلف آزمایشی تغییرات قابل توجهی داشت</w:t>
      </w:r>
      <w:r w:rsidRPr="00D575BC">
        <w:rPr>
          <w:sz w:val="24"/>
          <w:szCs w:val="24"/>
        </w:rPr>
        <w:t>.</w:t>
      </w:r>
      <w:r w:rsidRPr="00D575BC">
        <w:rPr>
          <w:rFonts w:hint="cs"/>
          <w:sz w:val="24"/>
          <w:szCs w:val="24"/>
          <w:rtl/>
        </w:rPr>
        <w:t xml:space="preserve"> </w:t>
      </w:r>
      <w:r w:rsidRPr="00D575BC">
        <w:rPr>
          <w:sz w:val="24"/>
          <w:szCs w:val="24"/>
          <w:rtl/>
        </w:rPr>
        <w:t>در گروه سالمند، کاهش معنی‌دار بیان ژن</w:t>
      </w:r>
      <w:r w:rsidRPr="00D575BC">
        <w:rPr>
          <w:sz w:val="24"/>
          <w:szCs w:val="24"/>
        </w:rPr>
        <w:t xml:space="preserve"> CXCL1 </w:t>
      </w:r>
      <w:r w:rsidRPr="00D575BC">
        <w:rPr>
          <w:sz w:val="24"/>
          <w:szCs w:val="24"/>
          <w:rtl/>
        </w:rPr>
        <w:lastRenderedPageBreak/>
        <w:t>همراه با افزایش چشمگیر سیتوکین‌های التهابی مشاهده شد؛ یافته‌ای که بیانگر اثرات منفی فرآیند سالمندی و استرس اکسیداتیو بر تنظیم پاسخ‌های ایمنی است. در مقابل، گروه درمانی 1 که</w:t>
      </w:r>
      <w:r w:rsidRPr="00D575BC">
        <w:rPr>
          <w:sz w:val="24"/>
          <w:szCs w:val="24"/>
        </w:rPr>
        <w:t xml:space="preserve"> EGCG </w:t>
      </w:r>
      <w:r w:rsidRPr="00D575BC">
        <w:rPr>
          <w:sz w:val="24"/>
          <w:szCs w:val="24"/>
          <w:rtl/>
        </w:rPr>
        <w:t>دریافت کرده بود، بالاترین سطح بیان</w:t>
      </w:r>
      <w:r w:rsidRPr="00D575BC">
        <w:rPr>
          <w:sz w:val="24"/>
          <w:szCs w:val="24"/>
        </w:rPr>
        <w:t xml:space="preserve"> CXCL1 </w:t>
      </w:r>
      <w:r w:rsidRPr="00D575BC">
        <w:rPr>
          <w:sz w:val="24"/>
          <w:szCs w:val="24"/>
          <w:rtl/>
        </w:rPr>
        <w:t>و کاهش قابل توجه سیتوکین‌ها را نشان داد، که حاکی از اثر تقویت</w:t>
      </w:r>
      <w:r w:rsidRPr="00D575BC">
        <w:rPr>
          <w:rFonts w:hint="cs"/>
          <w:sz w:val="24"/>
          <w:szCs w:val="24"/>
          <w:rtl/>
        </w:rPr>
        <w:t xml:space="preserve"> </w:t>
      </w:r>
      <w:r w:rsidRPr="00D575BC">
        <w:rPr>
          <w:sz w:val="24"/>
          <w:szCs w:val="24"/>
          <w:rtl/>
        </w:rPr>
        <w:t>‌کننده و ضدالتهابی</w:t>
      </w:r>
      <w:r w:rsidRPr="00D575BC">
        <w:rPr>
          <w:sz w:val="24"/>
          <w:szCs w:val="24"/>
        </w:rPr>
        <w:t xml:space="preserve"> EGCG </w:t>
      </w:r>
      <w:r w:rsidRPr="00D575BC">
        <w:rPr>
          <w:sz w:val="24"/>
          <w:szCs w:val="24"/>
          <w:rtl/>
        </w:rPr>
        <w:t>در شرایط فیزیولوژیک سالم می‌باشد</w:t>
      </w:r>
      <w:r w:rsidRPr="00D575BC">
        <w:rPr>
          <w:sz w:val="24"/>
          <w:szCs w:val="24"/>
        </w:rPr>
        <w:t>.</w:t>
      </w:r>
      <w:r w:rsidRPr="00D575BC">
        <w:rPr>
          <w:rFonts w:hint="cs"/>
          <w:sz w:val="24"/>
          <w:szCs w:val="24"/>
          <w:rtl/>
        </w:rPr>
        <w:t xml:space="preserve"> </w:t>
      </w:r>
      <w:r w:rsidRPr="00D575BC">
        <w:rPr>
          <w:sz w:val="24"/>
          <w:szCs w:val="24"/>
          <w:rtl/>
        </w:rPr>
        <w:t xml:space="preserve">همچنین در گروه درمانی 2، </w:t>
      </w:r>
      <w:r w:rsidRPr="00D575BC">
        <w:rPr>
          <w:sz w:val="24"/>
          <w:szCs w:val="24"/>
        </w:rPr>
        <w:t>EGCG</w:t>
      </w:r>
      <w:r w:rsidRPr="00D575BC">
        <w:rPr>
          <w:rFonts w:hint="cs"/>
          <w:sz w:val="24"/>
          <w:szCs w:val="24"/>
          <w:rtl/>
        </w:rPr>
        <w:t xml:space="preserve"> </w:t>
      </w:r>
      <w:r w:rsidRPr="00D575BC">
        <w:rPr>
          <w:sz w:val="24"/>
          <w:szCs w:val="24"/>
          <w:rtl/>
        </w:rPr>
        <w:t>توانست تغییرات ناشی از سالمندی را تعدیل کرده و سطح سیتوکین‌ها را به محدوده طبیعی بازگرداند، به‌گونه‌ای که تفاوتی با گروه کنترل مشاهده نشد. این یافته‌ها به‌</w:t>
      </w:r>
      <w:r w:rsidRPr="00D575BC">
        <w:rPr>
          <w:rFonts w:hint="cs"/>
          <w:sz w:val="24"/>
          <w:szCs w:val="24"/>
          <w:rtl/>
        </w:rPr>
        <w:t xml:space="preserve"> </w:t>
      </w:r>
      <w:r w:rsidRPr="00D575BC">
        <w:rPr>
          <w:sz w:val="24"/>
          <w:szCs w:val="24"/>
          <w:rtl/>
        </w:rPr>
        <w:t>طور کلی نشان می‌دهد که</w:t>
      </w:r>
      <w:r w:rsidRPr="00D575BC">
        <w:rPr>
          <w:sz w:val="24"/>
          <w:szCs w:val="24"/>
        </w:rPr>
        <w:t xml:space="preserve"> EGCG </w:t>
      </w:r>
      <w:r w:rsidRPr="00D575BC">
        <w:rPr>
          <w:sz w:val="24"/>
          <w:szCs w:val="24"/>
          <w:rtl/>
        </w:rPr>
        <w:t>علاوه بر اثرات ضدالتهابی در شرایط سالم، قادر است پاسخ‌های التهابی ناشی از سالمندی را نیز خنثی و تنظیم نماید</w:t>
      </w:r>
      <w:r w:rsidRPr="00D575BC">
        <w:rPr>
          <w:sz w:val="24"/>
          <w:szCs w:val="24"/>
        </w:rPr>
        <w:t>.</w:t>
      </w:r>
    </w:p>
    <w:p w14:paraId="1C257BE4" w14:textId="77777777" w:rsidR="00CF69B3" w:rsidRPr="00D575BC" w:rsidRDefault="00CF69B3" w:rsidP="00CF69B3">
      <w:pPr>
        <w:pStyle w:val="a0"/>
        <w:rPr>
          <w:sz w:val="24"/>
          <w:szCs w:val="24"/>
        </w:rPr>
      </w:pPr>
      <w:r w:rsidRPr="00D575BC">
        <w:rPr>
          <w:sz w:val="24"/>
          <w:szCs w:val="24"/>
        </w:rPr>
        <w:t>CXCL1</w:t>
      </w:r>
      <w:r w:rsidRPr="00D575BC">
        <w:rPr>
          <w:rFonts w:hint="cs"/>
          <w:sz w:val="24"/>
          <w:szCs w:val="24"/>
          <w:rtl/>
        </w:rPr>
        <w:t xml:space="preserve"> </w:t>
      </w:r>
      <w:r w:rsidRPr="00D575BC">
        <w:rPr>
          <w:sz w:val="24"/>
          <w:szCs w:val="24"/>
          <w:rtl/>
        </w:rPr>
        <w:t xml:space="preserve">یک کموکاین کلیدی با نقش اصلی در جذب نوتروفیل‌ها است که عمدتاً از طریق گیرنده </w:t>
      </w:r>
      <w:r w:rsidRPr="00D575BC">
        <w:rPr>
          <w:sz w:val="24"/>
          <w:szCs w:val="24"/>
        </w:rPr>
        <w:t>CXCR2</w:t>
      </w:r>
      <w:r w:rsidRPr="00D575BC">
        <w:rPr>
          <w:rFonts w:hint="cs"/>
          <w:sz w:val="24"/>
          <w:szCs w:val="24"/>
          <w:rtl/>
        </w:rPr>
        <w:t xml:space="preserve"> </w:t>
      </w:r>
      <w:r w:rsidRPr="00D575BC">
        <w:rPr>
          <w:sz w:val="24"/>
          <w:szCs w:val="24"/>
          <w:rtl/>
        </w:rPr>
        <w:t>سیگنال‌دهی می‌کند. اختلال در تنظیم این محور کموکاینی با بروز التهاب مزمن و پیشرفت تومور ارتباط دارد؛ دو فرآیندی که به</w:t>
      </w:r>
      <w:r w:rsidRPr="00D575BC">
        <w:rPr>
          <w:rFonts w:hint="cs"/>
          <w:sz w:val="24"/>
          <w:szCs w:val="24"/>
          <w:rtl/>
        </w:rPr>
        <w:t xml:space="preserve"> </w:t>
      </w:r>
      <w:r w:rsidRPr="00D575BC">
        <w:rPr>
          <w:sz w:val="24"/>
          <w:szCs w:val="24"/>
          <w:rtl/>
        </w:rPr>
        <w:t>‌طور مستقیم با زیست‌شناسی پیری و پدیده‌ی «التهاب‌زایی مرتبط با سالمندی</w:t>
      </w:r>
      <w:r w:rsidRPr="00D575BC">
        <w:rPr>
          <w:rFonts w:hint="cs"/>
          <w:sz w:val="24"/>
          <w:szCs w:val="24"/>
          <w:rtl/>
        </w:rPr>
        <w:t xml:space="preserve">» </w:t>
      </w:r>
      <w:r w:rsidRPr="00D575BC">
        <w:rPr>
          <w:sz w:val="24"/>
          <w:szCs w:val="24"/>
          <w:rtl/>
        </w:rPr>
        <w:t>تلاقی دارند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&lt;EndNote&gt;&lt;Cite&gt;&lt;Author&gt;Salama&lt;/Author&gt;&lt;Year&gt;2025&lt;/Year&gt;&lt;RecNum&gt;16&lt;/RecNum&gt;&lt;DisplayText&gt;(15)&lt;/DisplayText&gt;&lt;record&gt;&lt;rec-number&gt;16&lt;/rec-number&gt;&lt;foreign-keys&gt;&lt;key app="EN" db-id="tsp2zzadoxvaapevwpbvp0eq2parp20dee9r" timestamp="1763792302"&gt;16</w:instrText>
      </w:r>
      <w:r w:rsidRPr="00D575BC">
        <w:rPr>
          <w:sz w:val="24"/>
          <w:szCs w:val="24"/>
          <w:rtl/>
        </w:rPr>
        <w:instrText>&lt;/</w:instrText>
      </w:r>
      <w:r w:rsidRPr="00D575BC">
        <w:rPr>
          <w:sz w:val="24"/>
          <w:szCs w:val="24"/>
        </w:rPr>
        <w:instrText>key&gt;&lt;/foreign-keys&gt;&lt;ref-type name="Journal Article"&gt;17&lt;/ref-type&gt;&lt;contributors&gt;&lt;authors&gt;&lt;author&gt;Salama, Abeer&lt;/author&gt;&lt;author&gt;Yassen, Noha N&lt;/author&gt;&lt;author&gt;Khalaf, Samar S&lt;/author&gt;&lt;author&gt;Fahmy, Mohamed I&lt;/author&gt;&lt;/authors&gt;&lt;/contributors&gt;&lt;titles&gt;&lt;title&gt;Chrysin ameliorates D-galactose-induced liver aging in mice: the impact of targeting Nrf2/AKT and CXCL1/TNF-α/P53 signaling pathways&lt;/title&gt;&lt;secondary-title&gt;Journal of Pharmacy and Pharmacology&lt;/secondary-title&gt;&lt;/titles&gt;&lt;periodical&gt;&lt;full-title&gt;Journal of Pharmacy and Pharmacology&lt;/full-title&gt;&lt;/periodical&gt;&lt;pages&gt;1450-1458&lt;/pages&gt;&lt;volume&gt;77&lt;/volume&gt;&lt;number&gt;10&lt;/number&gt;&lt;dates&gt;&lt;year&gt;2025&lt;/year&gt;&lt;/dates&gt;&lt;isbn&gt;0022-3573&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(15)</w:t>
      </w:r>
      <w:r w:rsidRPr="00D575BC">
        <w:rPr>
          <w:sz w:val="24"/>
          <w:szCs w:val="24"/>
          <w:rtl/>
        </w:rPr>
        <w:fldChar w:fldCharType="end"/>
      </w:r>
      <w:r w:rsidRPr="00D575BC">
        <w:rPr>
          <w:sz w:val="24"/>
          <w:szCs w:val="24"/>
          <w:rtl/>
        </w:rPr>
        <w:t xml:space="preserve">. در همین راستا، </w:t>
      </w:r>
      <w:proofErr w:type="spellStart"/>
      <w:r w:rsidRPr="00D575BC">
        <w:rPr>
          <w:sz w:val="24"/>
          <w:szCs w:val="24"/>
        </w:rPr>
        <w:t>Korbecki</w:t>
      </w:r>
      <w:proofErr w:type="spellEnd"/>
      <w:r w:rsidRPr="00D575BC">
        <w:rPr>
          <w:rFonts w:hint="cs"/>
          <w:sz w:val="24"/>
          <w:szCs w:val="24"/>
          <w:rtl/>
        </w:rPr>
        <w:t xml:space="preserve"> </w:t>
      </w:r>
      <w:r w:rsidRPr="00D575BC">
        <w:rPr>
          <w:sz w:val="24"/>
          <w:szCs w:val="24"/>
          <w:rtl/>
        </w:rPr>
        <w:t>و همکاران اهمیت</w:t>
      </w:r>
      <w:r w:rsidRPr="00D575BC">
        <w:rPr>
          <w:sz w:val="24"/>
          <w:szCs w:val="24"/>
        </w:rPr>
        <w:t xml:space="preserve"> CXCL1 </w:t>
      </w:r>
      <w:r w:rsidRPr="00D575BC">
        <w:rPr>
          <w:sz w:val="24"/>
          <w:szCs w:val="24"/>
          <w:rtl/>
        </w:rPr>
        <w:t>را در هدایت نوتروفیل‌ها و تنظیم پاسخ‌های ایمنی ذاتی برجسته کرده‌اند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&lt;EndNote&gt;&lt;Cite&gt;&lt;Author&gt;Korbecki&lt;/Author&gt;&lt;Year&gt;2024&lt;/Year&gt;&lt;RecNum&gt;6&lt;/RecNum&gt;&lt;DisplayText&gt;(6)&lt;/DisplayText&gt;&lt;record&gt;&lt;rec-number&gt;6&lt;/rec-number&gt;&lt;foreign-keys&gt;&lt;key app="EN" db-id="tsp2zzadoxvaapevwpbvp0eq2parp20dee9r" timestamp="1763449939"&gt;6&lt;/key&gt;&lt;/foreign-keys&gt;&lt;ref-type name="Journal Article"&gt;17&lt;/ref-type&gt;&lt;contributors&gt;&lt;authors&gt;&lt;author&gt;Korbecki, Jan&lt;/author&gt;&lt;author&gt;Bosiacki, Mateusz&lt;/author&gt;&lt;author&gt;Szatkowska, Iwona&lt;/author&gt;&lt;author&gt;Kupnicka, Patrycja&lt;/author&gt;&lt;author&gt;Chlubek, Dariusz&lt;/author&gt;&lt;author&gt;Baranowska-Bosiacka, Irena&lt;/author&gt;&lt;/authors&gt;&lt;/contributors&gt;&lt;titles&gt;&lt;title&gt;The clinical significance and involvement in molecular cancer processes of chemokine CXCL1 in selected tumors&lt;/title&gt;&lt;secondary-title&gt;International Journal of Molecular Sciences&lt;/secondary-title&gt;&lt;/titles&gt;&lt;periodical&gt;&lt;full-title&gt;International journal of molecular sciences&lt;/full-title&gt;&lt;/periodical&gt;&lt;pages&gt;4365&lt;/pages&gt;&lt;volume&gt;25&lt;/volume&gt;&lt;number&gt;8&lt;/number&gt;&lt;dates&gt;&lt;year&gt;2024&lt;/year&gt;&lt;/dates&gt;&lt;isbn&gt;1422-0067&lt;/isbn&gt;&lt;urls&gt;&lt;/urls&gt;&lt;/record</w:instrText>
      </w:r>
      <w:r w:rsidRPr="00D575BC">
        <w:rPr>
          <w:sz w:val="24"/>
          <w:szCs w:val="24"/>
          <w:rtl/>
        </w:rPr>
        <w:instrText>&gt;&lt;/</w:instrText>
      </w:r>
      <w:r w:rsidRPr="00D575BC">
        <w:rPr>
          <w:sz w:val="24"/>
          <w:szCs w:val="24"/>
        </w:rPr>
        <w:instrText>Cite&gt;&lt;/EndNote</w:instrText>
      </w:r>
      <w:r w:rsidRPr="00D575BC">
        <w:rPr>
          <w:sz w:val="24"/>
          <w:szCs w:val="24"/>
          <w:rtl/>
        </w:rPr>
        <w:instrText>&gt;</w:instrText>
      </w:r>
      <w:r w:rsidRPr="00D575BC">
        <w:rPr>
          <w:sz w:val="24"/>
          <w:szCs w:val="24"/>
          <w:rtl/>
        </w:rPr>
        <w:fldChar w:fldCharType="separate"/>
      </w:r>
      <w:r w:rsidRPr="00D575BC">
        <w:rPr>
          <w:noProof/>
          <w:sz w:val="24"/>
          <w:szCs w:val="24"/>
          <w:rtl/>
        </w:rPr>
        <w:t>(6)</w:t>
      </w:r>
      <w:r w:rsidRPr="00D575BC">
        <w:rPr>
          <w:sz w:val="24"/>
          <w:szCs w:val="24"/>
          <w:rtl/>
        </w:rPr>
        <w:fldChar w:fldCharType="end"/>
      </w:r>
      <w:r w:rsidRPr="00D575BC">
        <w:rPr>
          <w:sz w:val="24"/>
          <w:szCs w:val="24"/>
        </w:rPr>
        <w:t>.</w:t>
      </w:r>
      <w:r w:rsidRPr="00D575BC">
        <w:rPr>
          <w:rFonts w:hint="cs"/>
          <w:sz w:val="24"/>
          <w:szCs w:val="24"/>
          <w:rtl/>
        </w:rPr>
        <w:t xml:space="preserve"> </w:t>
      </w:r>
      <w:r w:rsidRPr="00D575BC">
        <w:rPr>
          <w:sz w:val="24"/>
          <w:szCs w:val="24"/>
          <w:rtl/>
        </w:rPr>
        <w:t xml:space="preserve">در مطالعه حاضر نشان داده شد که بیان ژن </w:t>
      </w:r>
      <w:r w:rsidRPr="00D575BC">
        <w:rPr>
          <w:sz w:val="24"/>
          <w:szCs w:val="24"/>
        </w:rPr>
        <w:t>CXCL1</w:t>
      </w:r>
      <w:r w:rsidRPr="00D575BC">
        <w:rPr>
          <w:rFonts w:hint="cs"/>
          <w:sz w:val="24"/>
          <w:szCs w:val="24"/>
          <w:rtl/>
        </w:rPr>
        <w:t xml:space="preserve"> </w:t>
      </w:r>
      <w:r w:rsidRPr="00D575BC">
        <w:rPr>
          <w:sz w:val="24"/>
          <w:szCs w:val="24"/>
          <w:rtl/>
        </w:rPr>
        <w:t>در گروه سالمند به طور معناداری کاهش یافته است؛ یافته‌ای که می‌تواند به تضعیف پاسخ‌های ایمنی اولیه و کاهش ظرفیت ترمیم بافتی در این گروه منجر شود. این نتیجه با مفهوم التهاب‌زایی مرتبط با سالمندی</w:t>
      </w:r>
      <w:r w:rsidRPr="00D575BC">
        <w:rPr>
          <w:rFonts w:hint="cs"/>
          <w:sz w:val="24"/>
          <w:szCs w:val="24"/>
          <w:rtl/>
        </w:rPr>
        <w:t xml:space="preserve"> </w:t>
      </w:r>
      <w:r w:rsidRPr="00D575BC">
        <w:rPr>
          <w:sz w:val="24"/>
          <w:szCs w:val="24"/>
          <w:rtl/>
        </w:rPr>
        <w:t xml:space="preserve">همخوانی دارد، جایی که تغییرات در شبکه کموکاینی و جذب نوتروفیل‌ها نقش مهمی در حفظ ریزمحیط‌های التهابی ایفا می‌کنند. مطالعات پیشین نیز اهمیت محور </w:t>
      </w:r>
      <w:r w:rsidRPr="00D575BC">
        <w:rPr>
          <w:sz w:val="24"/>
          <w:szCs w:val="24"/>
        </w:rPr>
        <w:t>IL-6/CXCL1</w:t>
      </w:r>
      <w:r w:rsidRPr="00D575BC">
        <w:rPr>
          <w:rFonts w:hint="cs"/>
          <w:sz w:val="24"/>
          <w:szCs w:val="24"/>
          <w:rtl/>
        </w:rPr>
        <w:t xml:space="preserve"> </w:t>
      </w:r>
      <w:r w:rsidRPr="00D575BC">
        <w:rPr>
          <w:sz w:val="24"/>
          <w:szCs w:val="24"/>
          <w:rtl/>
        </w:rPr>
        <w:t>را در بیماری‌های التهابی برجسته کرده‌اند؛ به‌</w:t>
      </w:r>
      <w:r w:rsidRPr="00D575BC">
        <w:rPr>
          <w:rFonts w:hint="cs"/>
          <w:sz w:val="24"/>
          <w:szCs w:val="24"/>
          <w:rtl/>
        </w:rPr>
        <w:t xml:space="preserve"> </w:t>
      </w:r>
      <w:r w:rsidRPr="00D575BC">
        <w:rPr>
          <w:sz w:val="24"/>
          <w:szCs w:val="24"/>
          <w:rtl/>
        </w:rPr>
        <w:t xml:space="preserve">طور مثال، </w:t>
      </w:r>
      <w:r w:rsidRPr="00D575BC">
        <w:rPr>
          <w:sz w:val="24"/>
          <w:szCs w:val="24"/>
        </w:rPr>
        <w:t>Liu</w:t>
      </w:r>
      <w:r w:rsidRPr="00D575BC">
        <w:rPr>
          <w:sz w:val="24"/>
          <w:szCs w:val="24"/>
          <w:rtl/>
        </w:rPr>
        <w:t xml:space="preserve"> و همکاران نشان دادند که افزایش</w:t>
      </w:r>
      <w:r w:rsidRPr="00D575BC">
        <w:rPr>
          <w:sz w:val="24"/>
          <w:szCs w:val="24"/>
        </w:rPr>
        <w:t xml:space="preserve"> IL-6 </w:t>
      </w:r>
      <w:r w:rsidRPr="00D575BC">
        <w:rPr>
          <w:sz w:val="24"/>
          <w:szCs w:val="24"/>
          <w:rtl/>
        </w:rPr>
        <w:t>و</w:t>
      </w:r>
      <w:r w:rsidRPr="00D575BC">
        <w:rPr>
          <w:sz w:val="24"/>
          <w:szCs w:val="24"/>
        </w:rPr>
        <w:t xml:space="preserve"> CXCL1 </w:t>
      </w:r>
      <w:r w:rsidRPr="00D575BC">
        <w:rPr>
          <w:sz w:val="24"/>
          <w:szCs w:val="24"/>
          <w:rtl/>
        </w:rPr>
        <w:t xml:space="preserve">در اوتیت میانی همراه با افیوژن با فعال‌سازی مسیرهای </w:t>
      </w:r>
      <w:r w:rsidRPr="00D575BC">
        <w:rPr>
          <w:sz w:val="24"/>
          <w:szCs w:val="24"/>
        </w:rPr>
        <w:t>NLRP3</w:t>
      </w:r>
      <w:r w:rsidRPr="00D575BC">
        <w:rPr>
          <w:rFonts w:hint="cs"/>
          <w:sz w:val="24"/>
          <w:szCs w:val="24"/>
          <w:rtl/>
        </w:rPr>
        <w:t xml:space="preserve"> </w:t>
      </w:r>
      <w:r w:rsidRPr="00D575BC">
        <w:rPr>
          <w:sz w:val="24"/>
          <w:szCs w:val="24"/>
          <w:rtl/>
        </w:rPr>
        <w:t>و</w:t>
      </w:r>
      <w:r w:rsidRPr="00D575BC">
        <w:rPr>
          <w:sz w:val="24"/>
          <w:szCs w:val="24"/>
        </w:rPr>
        <w:t xml:space="preserve"> NF-</w:t>
      </w:r>
      <w:proofErr w:type="spellStart"/>
      <w:r w:rsidRPr="00D575BC">
        <w:rPr>
          <w:sz w:val="24"/>
          <w:szCs w:val="24"/>
        </w:rPr>
        <w:t>κB</w:t>
      </w:r>
      <w:proofErr w:type="spellEnd"/>
      <w:r w:rsidRPr="00D575BC">
        <w:rPr>
          <w:sz w:val="24"/>
          <w:szCs w:val="24"/>
        </w:rPr>
        <w:t xml:space="preserve"> </w:t>
      </w:r>
      <w:r w:rsidRPr="00D575BC">
        <w:rPr>
          <w:sz w:val="24"/>
          <w:szCs w:val="24"/>
          <w:rtl/>
        </w:rPr>
        <w:t>همراه است و مهار</w:t>
      </w:r>
      <w:r w:rsidRPr="00D575BC">
        <w:rPr>
          <w:sz w:val="24"/>
          <w:szCs w:val="24"/>
        </w:rPr>
        <w:t xml:space="preserve"> IL-6 </w:t>
      </w:r>
      <w:r w:rsidRPr="00D575BC">
        <w:rPr>
          <w:sz w:val="24"/>
          <w:szCs w:val="24"/>
          <w:rtl/>
        </w:rPr>
        <w:t>می‌تواند این چرخه التهابی را کاهش دهد. این شواهد نشان می‌دهد که تغییرات در</w:t>
      </w:r>
      <w:r w:rsidRPr="00D575BC">
        <w:rPr>
          <w:sz w:val="24"/>
          <w:szCs w:val="24"/>
        </w:rPr>
        <w:t xml:space="preserve"> CXCL1 </w:t>
      </w:r>
      <w:r w:rsidRPr="00D575BC">
        <w:rPr>
          <w:sz w:val="24"/>
          <w:szCs w:val="24"/>
          <w:rtl/>
        </w:rPr>
        <w:t>نه تنها در سالمندی بلکه در بیماری‌های التهابی دیگر نیز نقش محوری دارد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&lt;EndNote&gt;&lt;Cite&gt;&lt;Author&gt;Liu&lt;/Author&gt;&lt;Year&gt;2024&lt;/Year&gt;&lt;RecNum&gt;18&lt;/RecNum&gt;&lt;DisplayText&gt;(16)&lt;/DisplayText&gt;&lt;record&gt;&lt;rec-number&gt;18&lt;/rec-number&gt;&lt;foreign-keys&gt;&lt;key app="EN" db-id="tsp2zzadoxvaapevwpbvp0eq2parp20dee9r" timestamp="1763792832"&gt;18&lt;/key</w:instrText>
      </w:r>
      <w:r w:rsidRPr="00D575BC">
        <w:rPr>
          <w:sz w:val="24"/>
          <w:szCs w:val="24"/>
          <w:rtl/>
        </w:rPr>
        <w:instrText>&gt;&lt;/</w:instrText>
      </w:r>
      <w:r w:rsidRPr="00D575BC">
        <w:rPr>
          <w:sz w:val="24"/>
          <w:szCs w:val="24"/>
        </w:rPr>
        <w:instrText>foreign-keys&gt;&lt;ref-type name="Journal Article"&gt;17&lt;/ref-type&gt;&lt;contributors&gt;&lt;authors&gt;&lt;author&gt;Liu, Yixuan&lt;/author&gt;&lt;author&gt;Qian, Tingting&lt;/author&gt;&lt;author&gt;Zhang, Nanfeng&lt;/author&gt;&lt;author&gt;Cao, Jiazhen&lt;/author&gt;&lt;author&gt;Lu, Xiaoling&lt;/author&gt;&lt;author&gt;Tong, Qiling</w:instrText>
      </w:r>
      <w:r w:rsidRPr="00D575BC">
        <w:rPr>
          <w:sz w:val="24"/>
          <w:szCs w:val="24"/>
          <w:rtl/>
        </w:rPr>
        <w:instrText>&lt;/</w:instrText>
      </w:r>
      <w:r w:rsidRPr="00D575BC">
        <w:rPr>
          <w:sz w:val="24"/>
          <w:szCs w:val="24"/>
        </w:rPr>
        <w:instrText>author&gt;&lt;author&gt;Wang, Xinyuan&lt;/author&gt;&lt;author&gt;Li, Huawei&lt;/author&gt;&lt;author&gt;Sun, Shan&lt;/author&gt;&lt;author&gt;Yu, Huiqian&lt;/author&gt;&lt;/authors&gt;&lt;/contributors&gt;&lt;titles&gt;&lt;title&gt;Deciphering the mechanisms of the IL-6/CXCL1 and NOD-like receptor signaling pathways in otitis media with effusion in rodents&lt;/title&gt;&lt;secondary-title&gt;International Immunopharmacology&lt;/secondary-title&gt;&lt;/titles&gt;&lt;periodical&gt;&lt;full-title&gt;International Immunopharmacology&lt;/full-title&gt;&lt;/periodical&gt;&lt;pages&gt;113192&lt;/pages&gt;&lt;volume&gt;142&lt;/volume&gt;&lt;dates&gt;&lt;year&gt;2024</w:instrText>
      </w:r>
      <w:r w:rsidRPr="00D575BC">
        <w:rPr>
          <w:sz w:val="24"/>
          <w:szCs w:val="24"/>
          <w:rtl/>
        </w:rPr>
        <w:instrText>&lt;/</w:instrText>
      </w:r>
      <w:r w:rsidRPr="00D575BC">
        <w:rPr>
          <w:sz w:val="24"/>
          <w:szCs w:val="24"/>
        </w:rPr>
        <w:instrText>year&gt;&lt;/dates&gt;&lt;isbn&gt;1567-5769&lt;/isbn&gt;&lt;urls&gt;&lt;/urls&gt;&lt;/record&gt;&lt;/Cite&gt;&lt;/EndNote</w:instrText>
      </w:r>
      <w:r w:rsidRPr="00D575BC">
        <w:rPr>
          <w:sz w:val="24"/>
          <w:szCs w:val="24"/>
          <w:rtl/>
        </w:rPr>
        <w:instrText>&gt;</w:instrText>
      </w:r>
      <w:r w:rsidRPr="00D575BC">
        <w:rPr>
          <w:sz w:val="24"/>
          <w:szCs w:val="24"/>
          <w:rtl/>
        </w:rPr>
        <w:fldChar w:fldCharType="separate"/>
      </w:r>
      <w:r w:rsidRPr="00D575BC">
        <w:rPr>
          <w:sz w:val="24"/>
          <w:szCs w:val="24"/>
          <w:rtl/>
        </w:rPr>
        <w:t>(16)</w:t>
      </w:r>
      <w:r w:rsidRPr="00D575BC">
        <w:rPr>
          <w:sz w:val="24"/>
          <w:szCs w:val="24"/>
          <w:rtl/>
        </w:rPr>
        <w:fldChar w:fldCharType="end"/>
      </w:r>
      <w:r w:rsidRPr="00D575BC">
        <w:rPr>
          <w:sz w:val="24"/>
          <w:szCs w:val="24"/>
        </w:rPr>
        <w:t>.</w:t>
      </w:r>
      <w:r w:rsidRPr="00D575BC">
        <w:rPr>
          <w:rFonts w:hint="cs"/>
          <w:sz w:val="24"/>
          <w:szCs w:val="24"/>
          <w:rtl/>
        </w:rPr>
        <w:t xml:space="preserve"> </w:t>
      </w:r>
      <w:r w:rsidRPr="00D575BC">
        <w:rPr>
          <w:sz w:val="24"/>
          <w:szCs w:val="24"/>
          <w:rtl/>
        </w:rPr>
        <w:t xml:space="preserve">از سوی دیگر، یافته‌های ما نشان داد که </w:t>
      </w:r>
      <w:r w:rsidRPr="00D575BC">
        <w:rPr>
          <w:sz w:val="24"/>
          <w:szCs w:val="24"/>
        </w:rPr>
        <w:t>EGCG</w:t>
      </w:r>
      <w:r w:rsidRPr="00D575BC">
        <w:rPr>
          <w:rFonts w:hint="cs"/>
          <w:sz w:val="24"/>
          <w:szCs w:val="24"/>
          <w:rtl/>
        </w:rPr>
        <w:t xml:space="preserve"> </w:t>
      </w:r>
      <w:r w:rsidRPr="00D575BC">
        <w:rPr>
          <w:sz w:val="24"/>
          <w:szCs w:val="24"/>
          <w:rtl/>
        </w:rPr>
        <w:t>قادر است بیان</w:t>
      </w:r>
      <w:r w:rsidRPr="00D575BC">
        <w:rPr>
          <w:sz w:val="24"/>
          <w:szCs w:val="24"/>
        </w:rPr>
        <w:t xml:space="preserve"> CXCL1 </w:t>
      </w:r>
      <w:r w:rsidRPr="00D575BC">
        <w:rPr>
          <w:sz w:val="24"/>
          <w:szCs w:val="24"/>
          <w:rtl/>
        </w:rPr>
        <w:t>را افزایش دهد و عملکرد ایمنی کبد را بهبود بخشد. این نتیجه با مطالعات متعدد همخوانی دارد که</w:t>
      </w:r>
      <w:r w:rsidRPr="00D575BC">
        <w:rPr>
          <w:sz w:val="24"/>
          <w:szCs w:val="24"/>
        </w:rPr>
        <w:t xml:space="preserve"> EGCG </w:t>
      </w:r>
      <w:r w:rsidRPr="00D575BC">
        <w:rPr>
          <w:sz w:val="24"/>
          <w:szCs w:val="24"/>
          <w:rtl/>
        </w:rPr>
        <w:t>را به‌</w:t>
      </w:r>
      <w:r w:rsidRPr="00D575BC">
        <w:rPr>
          <w:rFonts w:hint="cs"/>
          <w:sz w:val="24"/>
          <w:szCs w:val="24"/>
          <w:rtl/>
        </w:rPr>
        <w:t xml:space="preserve"> </w:t>
      </w:r>
      <w:r w:rsidRPr="00D575BC">
        <w:rPr>
          <w:sz w:val="24"/>
          <w:szCs w:val="24"/>
          <w:rtl/>
        </w:rPr>
        <w:t>عنوان یک تعدیل‌</w:t>
      </w:r>
      <w:r w:rsidRPr="00D575BC">
        <w:rPr>
          <w:rFonts w:hint="cs"/>
          <w:sz w:val="24"/>
          <w:szCs w:val="24"/>
          <w:rtl/>
        </w:rPr>
        <w:t xml:space="preserve"> </w:t>
      </w:r>
      <w:r w:rsidRPr="00D575BC">
        <w:rPr>
          <w:sz w:val="24"/>
          <w:szCs w:val="24"/>
          <w:rtl/>
        </w:rPr>
        <w:t>کننده ایمنی و آنتی‌اکسیدان قدرتمند معرفی کرده‌اند. به</w:t>
      </w:r>
      <w:r w:rsidRPr="00D575BC">
        <w:rPr>
          <w:rFonts w:hint="cs"/>
          <w:sz w:val="24"/>
          <w:szCs w:val="24"/>
          <w:rtl/>
        </w:rPr>
        <w:t xml:space="preserve"> </w:t>
      </w:r>
      <w:r w:rsidRPr="00D575BC">
        <w:rPr>
          <w:sz w:val="24"/>
          <w:szCs w:val="24"/>
          <w:rtl/>
        </w:rPr>
        <w:t xml:space="preserve">‌عنوان نمونه، </w:t>
      </w:r>
      <w:proofErr w:type="spellStart"/>
      <w:r w:rsidRPr="00D575BC">
        <w:rPr>
          <w:sz w:val="24"/>
          <w:szCs w:val="24"/>
        </w:rPr>
        <w:t>Adamcakova</w:t>
      </w:r>
      <w:proofErr w:type="spellEnd"/>
      <w:r w:rsidRPr="00D575BC">
        <w:rPr>
          <w:rFonts w:hint="cs"/>
          <w:sz w:val="24"/>
          <w:szCs w:val="24"/>
          <w:rtl/>
        </w:rPr>
        <w:t xml:space="preserve"> </w:t>
      </w:r>
      <w:r w:rsidRPr="00D575BC">
        <w:rPr>
          <w:sz w:val="24"/>
          <w:szCs w:val="24"/>
          <w:rtl/>
        </w:rPr>
        <w:t>و همکاران اثرات</w:t>
      </w:r>
      <w:r w:rsidRPr="00D575BC">
        <w:rPr>
          <w:sz w:val="24"/>
          <w:szCs w:val="24"/>
        </w:rPr>
        <w:t xml:space="preserve"> EGCG </w:t>
      </w:r>
      <w:r w:rsidRPr="00D575BC">
        <w:rPr>
          <w:sz w:val="24"/>
          <w:szCs w:val="24"/>
          <w:rtl/>
        </w:rPr>
        <w:t>را در مدل سیلیکوزیس ریوی بررسی کردند و نشان دادند که این ترکیب می‌تواند التهاب و فیبروز را کاهش دهد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&lt;EndNote&gt;&lt;Cite&gt;&lt;Author&gt;Adamcakova&lt;/Author&gt;&lt;Year&gt;2023&lt;/Year&gt;&lt;RecNum&gt;19&lt;/RecNum&gt;&lt;DisplayText&gt;(17)&lt;/DisplayText&gt;&lt;record&gt;&lt;rec-number&gt;19&lt;/rec-number&gt;&lt;foreign-keys&gt;&lt;key app="EN" db-id="tsp2zzadoxvaapevwpbvp0eq2parp20dee9r" timestamp="1763792916</w:instrText>
      </w:r>
      <w:r w:rsidRPr="00D575BC">
        <w:rPr>
          <w:sz w:val="24"/>
          <w:szCs w:val="24"/>
          <w:rtl/>
        </w:rPr>
        <w:instrText>"&gt;19&lt;/</w:instrText>
      </w:r>
      <w:r w:rsidRPr="00D575BC">
        <w:rPr>
          <w:sz w:val="24"/>
          <w:szCs w:val="24"/>
        </w:rPr>
        <w:instrText>key&gt;&lt;/foreign-keys&gt;&lt;ref-type name="Journal Article"&gt;17&lt;/ref-type&gt;&lt;contributors&gt;&lt;authors&gt;&lt;author&gt;Adamcakova, Jana&lt;/author&gt;&lt;author&gt;Balentova, Sona&lt;/author&gt;&lt;author&gt;Barosova, Romana&lt;/author&gt;&lt;author&gt;Hanusrichterova, Juliana&lt;/author&gt;&lt;author&gt;Mikolka, Pavol</w:instrText>
      </w:r>
      <w:r w:rsidRPr="00D575BC">
        <w:rPr>
          <w:sz w:val="24"/>
          <w:szCs w:val="24"/>
          <w:rtl/>
        </w:rPr>
        <w:instrText>&lt;/</w:instrText>
      </w:r>
      <w:r w:rsidRPr="00D575BC">
        <w:rPr>
          <w:sz w:val="24"/>
          <w:szCs w:val="24"/>
        </w:rPr>
        <w:instrText>author&gt;&lt;author&gt;Prso, Kristian&lt;/author&gt;&lt;author&gt;Mokry, Juraj&lt;/author&gt;&lt;author&gt;Tatarkova, Zuzana&lt;/author&gt;&lt;author&gt;Kalenska, Dagmar&lt;/author&gt;&lt;author&gt;Mokra, Daniela&lt;/author&gt;&lt;/authors&gt;&lt;/contributors&gt;&lt;titles&gt;&lt;title&gt;Effects of green tea polyphenol epigallocatechin-3</w:instrText>
      </w:r>
      <w:r w:rsidRPr="00D575BC">
        <w:rPr>
          <w:sz w:val="24"/>
          <w:szCs w:val="24"/>
          <w:rtl/>
        </w:rPr>
        <w:instrText>-</w:instrText>
      </w:r>
      <w:r w:rsidRPr="00D575BC">
        <w:rPr>
          <w:sz w:val="24"/>
          <w:szCs w:val="24"/>
        </w:rPr>
        <w:instrText>gallate on markers of inflammation and fibrosis in a rat model of pulmonary silicosis&lt;/title&gt;&lt;secondary-title&gt;International Journal of Molecular Sciences&lt;/secondary-title&gt;&lt;/titles&gt;&lt;periodical&gt;&lt;full-title&gt;International journal of molecular sciences&lt;/full</w:instrText>
      </w:r>
      <w:r w:rsidRPr="00D575BC">
        <w:rPr>
          <w:sz w:val="24"/>
          <w:szCs w:val="24"/>
          <w:rtl/>
        </w:rPr>
        <w:instrText>-</w:instrText>
      </w:r>
      <w:r w:rsidRPr="00D575BC">
        <w:rPr>
          <w:sz w:val="24"/>
          <w:szCs w:val="24"/>
        </w:rPr>
        <w:instrText>title&gt;&lt;/periodical&gt;&lt;pages&gt;1857&lt;/pages&gt;&lt;volume&gt;24&lt;/volume&gt;&lt;number&gt;3&lt;/number&gt;&lt;dates&gt;&lt;year&gt;2023&lt;/year&gt;&lt;/dates&gt;&lt;isbn&gt;1422-0067&lt;/isbn&gt;&lt;urls&gt;&lt;/urls&gt;&lt;/record&gt;&lt;/Cite&gt;&lt;/EndNote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(17)</w:t>
      </w:r>
      <w:r w:rsidRPr="00D575BC">
        <w:rPr>
          <w:sz w:val="24"/>
          <w:szCs w:val="24"/>
          <w:rtl/>
        </w:rPr>
        <w:fldChar w:fldCharType="end"/>
      </w:r>
      <w:r w:rsidRPr="00D575BC">
        <w:rPr>
          <w:sz w:val="24"/>
          <w:szCs w:val="24"/>
          <w:rtl/>
        </w:rPr>
        <w:t>. همچنین نخعی و همکاران گزارش کردند که</w:t>
      </w:r>
      <w:r w:rsidRPr="00D575BC">
        <w:rPr>
          <w:sz w:val="24"/>
          <w:szCs w:val="24"/>
        </w:rPr>
        <w:t xml:space="preserve"> EGCG </w:t>
      </w:r>
      <w:r w:rsidRPr="00D575BC">
        <w:rPr>
          <w:sz w:val="24"/>
          <w:szCs w:val="24"/>
          <w:rtl/>
        </w:rPr>
        <w:t>توانایی تمایز مونوسیت‌ها به سلول‌های دندریتیک تولروژنیک را دارد و در تنظیم ایمنی نقش ایفا می‌کند</w:t>
      </w:r>
      <w:r w:rsidRPr="00D575BC">
        <w:rPr>
          <w:rFonts w:hint="cs"/>
          <w:sz w:val="24"/>
          <w:szCs w:val="24"/>
          <w:rtl/>
          <w:lang w:bidi="fa-IR"/>
        </w:rPr>
        <w:t xml:space="preserve"> </w:t>
      </w:r>
      <w:r w:rsidRPr="00D575BC">
        <w:rPr>
          <w:sz w:val="24"/>
          <w:szCs w:val="24"/>
          <w:rtl/>
          <w:lang w:bidi="fa-IR"/>
        </w:rPr>
        <w:fldChar w:fldCharType="begin"/>
      </w:r>
      <w:r w:rsidRPr="00D575BC">
        <w:rPr>
          <w:sz w:val="24"/>
          <w:szCs w:val="24"/>
          <w:rtl/>
          <w:lang w:bidi="fa-IR"/>
        </w:rPr>
        <w:instrText xml:space="preserve"> </w:instrText>
      </w:r>
      <w:r w:rsidRPr="00D575BC">
        <w:rPr>
          <w:sz w:val="24"/>
          <w:szCs w:val="24"/>
          <w:lang w:bidi="fa-IR"/>
        </w:rPr>
        <w:instrText>ADDIN EN.CITE &lt;EndNote&gt;&lt;Cite&gt;&lt;Author&gt;Mofid Nakhaei&lt;/Author&gt;&lt;Year&gt;2020&lt;/Year&gt;&lt;RecNum&gt;20&lt;/RecNum&gt;&lt;DisplayText&gt;(18)&lt;/DisplayText&gt;&lt;record&gt;&lt;rec-number&gt;20&lt;/rec-number&gt;&lt;foreign-keys&gt;&lt;key app="EN" db-id="tsp2zzadoxvaapevwpbvp0eq2parp20dee9r" timestamp="176379300</w:instrText>
      </w:r>
      <w:r w:rsidRPr="00D575BC">
        <w:rPr>
          <w:sz w:val="24"/>
          <w:szCs w:val="24"/>
          <w:rtl/>
          <w:lang w:bidi="fa-IR"/>
        </w:rPr>
        <w:instrText>1"&gt;20&lt;/</w:instrText>
      </w:r>
      <w:r w:rsidRPr="00D575BC">
        <w:rPr>
          <w:sz w:val="24"/>
          <w:szCs w:val="24"/>
          <w:lang w:bidi="fa-IR"/>
        </w:rPr>
        <w:instrText>key&gt;&lt;/foreign-keys&gt;&lt;ref-type name="Journal Article"&gt;17&lt;/ref-type&gt;&lt;contributors&gt;&lt;authors&gt;&lt;author&gt;Mofid Nakhaei, Mohammad Ali&lt;/author&gt;&lt;author&gt;Mohammadi, Nabiallah&lt;/author&gt;&lt;author&gt;Abediankenari, Saeid&lt;/author&gt;&lt;/authors&gt;&lt;/contributors&gt;&lt;titles&gt;&lt;title&gt;Effect of Epigallocatechin gallate (EGCG) on Production of Dendritic Cells from Peripheral Blood Monocytes&lt;/title&gt;&lt;secondary-title&gt;Journal of Mazandaran University of Medical Sciences&lt;/secondary-title&gt;&lt;/titles&gt;&lt;periodical&gt;&lt;full-title&gt;Journal of Mazandaran University of Medical Sciences&lt;/full-title&gt;&lt;/periodical&gt;&lt;pages&gt;1-10&lt;/pages&gt;&lt;volume&gt;30&lt;/volume&gt;&lt;number&gt;190&lt;/number&gt;&lt;dates&gt;&lt;year&gt;2020&lt;/year&gt;&lt;/dates&gt;&lt;urls&gt;&lt;/urls&gt;&lt;/record&gt;&lt;/Cite&gt;&lt;/EndNote</w:instrText>
      </w:r>
      <w:r w:rsidRPr="00D575BC">
        <w:rPr>
          <w:sz w:val="24"/>
          <w:szCs w:val="24"/>
          <w:rtl/>
          <w:lang w:bidi="fa-IR"/>
        </w:rPr>
        <w:instrText>&gt;</w:instrText>
      </w:r>
      <w:r w:rsidRPr="00D575BC">
        <w:rPr>
          <w:sz w:val="24"/>
          <w:szCs w:val="24"/>
          <w:rtl/>
          <w:lang w:bidi="fa-IR"/>
        </w:rPr>
        <w:fldChar w:fldCharType="separate"/>
      </w:r>
      <w:r w:rsidRPr="00D575BC">
        <w:rPr>
          <w:noProof/>
          <w:sz w:val="24"/>
          <w:szCs w:val="24"/>
          <w:rtl/>
          <w:lang w:bidi="fa-IR"/>
        </w:rPr>
        <w:t>(18)</w:t>
      </w:r>
      <w:r w:rsidRPr="00D575BC">
        <w:rPr>
          <w:sz w:val="24"/>
          <w:szCs w:val="24"/>
          <w:rtl/>
          <w:lang w:bidi="fa-IR"/>
        </w:rPr>
        <w:fldChar w:fldCharType="end"/>
      </w:r>
      <w:r w:rsidRPr="00D575BC">
        <w:rPr>
          <w:sz w:val="24"/>
          <w:szCs w:val="24"/>
          <w:rtl/>
        </w:rPr>
        <w:t>. علاوه بر این، محسن‌زاده و همکاران نشان دادند که</w:t>
      </w:r>
      <w:r w:rsidRPr="00D575BC">
        <w:rPr>
          <w:sz w:val="24"/>
          <w:szCs w:val="24"/>
        </w:rPr>
        <w:t xml:space="preserve"> EGCG </w:t>
      </w:r>
      <w:r w:rsidRPr="00D575BC">
        <w:rPr>
          <w:sz w:val="24"/>
          <w:szCs w:val="24"/>
          <w:rtl/>
        </w:rPr>
        <w:t>اثرات مضر بیسفنول</w:t>
      </w:r>
      <w:r w:rsidRPr="00D575BC">
        <w:rPr>
          <w:sz w:val="24"/>
          <w:szCs w:val="24"/>
        </w:rPr>
        <w:t xml:space="preserve"> A</w:t>
      </w:r>
      <w:r w:rsidRPr="00D575BC">
        <w:rPr>
          <w:sz w:val="24"/>
          <w:szCs w:val="24"/>
          <w:rtl/>
        </w:rPr>
        <w:t>را از طریق کاهش استرس اکسیداتیو و تنظیم مسیرهای سیگنالینگ انسولین تعدیل می‌کند. این شواهد همگی بر نقش چندوجهی</w:t>
      </w:r>
      <w:r w:rsidRPr="00D575BC">
        <w:rPr>
          <w:sz w:val="24"/>
          <w:szCs w:val="24"/>
        </w:rPr>
        <w:t xml:space="preserve"> EGCG </w:t>
      </w:r>
      <w:r w:rsidRPr="00D575BC">
        <w:rPr>
          <w:sz w:val="24"/>
          <w:szCs w:val="24"/>
          <w:rtl/>
        </w:rPr>
        <w:t>در تعدیل پاسخ‌های ایمنی و کاهش آسیب‌های التهابی تأکید دارند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&lt;EndNote&gt;&lt;Cite&gt;&lt;Author&gt;Mohsenzadeh&lt;/Author&gt;&lt;Year&gt;2021&lt;/Year&gt;&lt;RecNum&gt;21&lt;/RecNum&gt;&lt;DisplayText&gt;(19)&lt;/DisplayText&gt;&lt;record&gt;&lt;rec-number&gt;21&lt;/rec-number&gt;&lt;foreign-keys&gt;&lt;key app="EN" db-id="tsp2zzadoxvaapevwpbvp0eq2parp20dee9r" timestamp="1763793065</w:instrText>
      </w:r>
      <w:r w:rsidRPr="00D575BC">
        <w:rPr>
          <w:sz w:val="24"/>
          <w:szCs w:val="24"/>
          <w:rtl/>
        </w:rPr>
        <w:instrText>"&gt;21&lt;/</w:instrText>
      </w:r>
      <w:r w:rsidRPr="00D575BC">
        <w:rPr>
          <w:sz w:val="24"/>
          <w:szCs w:val="24"/>
        </w:rPr>
        <w:instrText>key&gt;&lt;/foreign-keys&gt;&lt;ref-type name="Journal Article"&gt;17&lt;/ref-type&gt;&lt;contributors&gt;&lt;authors&gt;&lt;author&gt;Mohsenzadeh, Mahdieh Sadat&lt;/author&gt;&lt;author&gt;Razavi, Bibi Marjan&lt;/author&gt;&lt;author&gt;Imenshahidi, Mohsen&lt;/author&gt;&lt;author&gt;Yazdi, Seyed Abbas Tabatabaee&lt;/author</w:instrText>
      </w:r>
      <w:r w:rsidRPr="00D575BC">
        <w:rPr>
          <w:sz w:val="24"/>
          <w:szCs w:val="24"/>
          <w:rtl/>
        </w:rPr>
        <w:instrText>&gt;&lt;</w:instrText>
      </w:r>
      <w:r w:rsidRPr="00D575BC">
        <w:rPr>
          <w:sz w:val="24"/>
          <w:szCs w:val="24"/>
        </w:rPr>
        <w:instrText>author&gt;Mohajeri, Seyed Ahmad&lt;/author&gt;&lt;author&gt;Hosseinzadeh, Hossein&lt;/author&gt;&lt;/authors&gt;&lt;/contributors&gt;&lt;titles&gt;&lt;title&gt;Potential role of green tea extract and epigallocatechin gallate in preventing bisphenol A-induced metabolic disorders in rats: Biochemical</w:instrText>
      </w:r>
      <w:r w:rsidRPr="00D575BC">
        <w:rPr>
          <w:sz w:val="24"/>
          <w:szCs w:val="24"/>
          <w:rtl/>
        </w:rPr>
        <w:instrText xml:space="preserve"> </w:instrText>
      </w:r>
      <w:r w:rsidRPr="00D575BC">
        <w:rPr>
          <w:sz w:val="24"/>
          <w:szCs w:val="24"/>
        </w:rPr>
        <w:instrText>and molecular evidence&lt;/title&gt;&lt;secondary-title&gt;Phytomedicine&lt;/secondary-title&gt;&lt;/titles&gt;&lt;periodical&gt;&lt;full-title&gt;Phytomedicine&lt;/full-title&gt;&lt;/periodical&gt;&lt;pages&gt;153754&lt;/pages&gt;&lt;volume&gt;92&lt;/volume&gt;&lt;dates&gt;&lt;year&gt;2021&lt;/year&gt;&lt;/dates&gt;&lt;isbn&gt;0944-7113&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(19)</w:t>
      </w:r>
      <w:r w:rsidRPr="00D575BC">
        <w:rPr>
          <w:sz w:val="24"/>
          <w:szCs w:val="24"/>
          <w:rtl/>
        </w:rPr>
        <w:fldChar w:fldCharType="end"/>
      </w:r>
      <w:r w:rsidRPr="00D575BC">
        <w:rPr>
          <w:rFonts w:hint="cs"/>
          <w:sz w:val="24"/>
          <w:szCs w:val="24"/>
          <w:rtl/>
        </w:rPr>
        <w:t xml:space="preserve">. بنابراین با توجه به مطالعه حاضر، </w:t>
      </w:r>
      <w:r w:rsidRPr="00D575BC">
        <w:rPr>
          <w:sz w:val="24"/>
          <w:szCs w:val="24"/>
          <w:rtl/>
        </w:rPr>
        <w:t>افزایش</w:t>
      </w:r>
      <w:r w:rsidRPr="00D575BC">
        <w:rPr>
          <w:rFonts w:hint="cs"/>
          <w:sz w:val="24"/>
          <w:szCs w:val="24"/>
          <w:rtl/>
        </w:rPr>
        <w:t xml:space="preserve"> </w:t>
      </w:r>
      <w:r w:rsidRPr="00D575BC">
        <w:rPr>
          <w:sz w:val="24"/>
          <w:szCs w:val="24"/>
        </w:rPr>
        <w:t>CXCL1</w:t>
      </w:r>
      <w:r w:rsidRPr="00D575BC">
        <w:rPr>
          <w:rFonts w:hint="cs"/>
          <w:sz w:val="24"/>
          <w:szCs w:val="24"/>
          <w:rtl/>
        </w:rPr>
        <w:t xml:space="preserve"> </w:t>
      </w:r>
      <w:r w:rsidRPr="00D575BC">
        <w:rPr>
          <w:sz w:val="24"/>
          <w:szCs w:val="24"/>
          <w:rtl/>
        </w:rPr>
        <w:t>پس از تجویز</w:t>
      </w:r>
      <w:r w:rsidRPr="00D575BC">
        <w:rPr>
          <w:sz w:val="24"/>
          <w:szCs w:val="24"/>
        </w:rPr>
        <w:t xml:space="preserve"> EGCG </w:t>
      </w:r>
      <w:r w:rsidRPr="00D575BC">
        <w:rPr>
          <w:sz w:val="24"/>
          <w:szCs w:val="24"/>
          <w:rtl/>
        </w:rPr>
        <w:t>در گروه درمانی 2 بیانگر اثر محافظتی این ترکیب در بازگرداندن عملکرد ایمنی کبد است. این یافته با مطالعات</w:t>
      </w:r>
      <w:r w:rsidRPr="00D575BC">
        <w:rPr>
          <w:sz w:val="24"/>
          <w:szCs w:val="24"/>
        </w:rPr>
        <w:t xml:space="preserve"> Yao </w:t>
      </w:r>
      <w:r w:rsidRPr="00D575BC">
        <w:rPr>
          <w:sz w:val="24"/>
          <w:szCs w:val="24"/>
          <w:rtl/>
        </w:rPr>
        <w:t xml:space="preserve">و همکاران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&lt;EndNote&gt;&lt;Cite&gt;&lt;Author&gt;Yao&lt;/Author&gt;&lt;Year&gt;2025&lt;/Year&gt;&lt;RecNum&gt;23&lt;/RecNum&gt;&lt;DisplayText&gt;(20)&lt;/DisplayText&gt;&lt;record&gt;&lt;rec-number&gt;23&lt;/rec-number&gt;&lt;foreign-keys&gt;&lt;key app="EN" db-id="tsp2zzadoxvaapevwpbvp0eq2parp20dee9r" timestamp="1763793420"&gt;23&lt;/key</w:instrText>
      </w:r>
      <w:r w:rsidRPr="00D575BC">
        <w:rPr>
          <w:sz w:val="24"/>
          <w:szCs w:val="24"/>
          <w:rtl/>
        </w:rPr>
        <w:instrText>&gt;&lt;/</w:instrText>
      </w:r>
      <w:r w:rsidRPr="00D575BC">
        <w:rPr>
          <w:sz w:val="24"/>
          <w:szCs w:val="24"/>
        </w:rPr>
        <w:instrText>foreign-keys&gt;&lt;ref-type name="Journal Article"&gt;17&lt;/ref-type&gt;&lt;contributors&gt;&lt;authors&gt;&lt;author&gt;Yao, Yu-Qin&lt;/author&gt;&lt;author&gt;Cao, Qiong-Yue&lt;/author&gt;&lt;author&gt;Li, Zheng&lt;/author&gt;&lt;/authors&gt;&lt;/contributors&gt;&lt;titles&gt;&lt;title&gt;Delaying liver aging: Analysis of structural</w:instrText>
      </w:r>
      <w:r w:rsidRPr="00D575BC">
        <w:rPr>
          <w:sz w:val="24"/>
          <w:szCs w:val="24"/>
          <w:rtl/>
        </w:rPr>
        <w:instrText xml:space="preserve"> </w:instrText>
      </w:r>
      <w:r w:rsidRPr="00D575BC">
        <w:rPr>
          <w:sz w:val="24"/>
          <w:szCs w:val="24"/>
        </w:rPr>
        <w:instrText>and functional alterations&lt;/title&gt;&lt;secondary-title&gt;World Journal of Gastroenterology&lt;/secondary-title&gt;&lt;/titles&gt;&lt;periodical&gt;&lt;full-title&gt;World Journal of Gastroenterology&lt;/full-title&gt;&lt;/periodical&gt;&lt;pages&gt;103773&lt;/pages&gt;&lt;volume&gt;31&lt;/volume&gt;&lt;number&gt;15&lt;/number&gt;&lt;dates&gt;&lt;year&gt;2025&lt;/year&gt;&lt;/dates&gt;&lt;urls&gt;&lt;/urls&gt;&lt;/record&gt;&lt;/Cite&gt;&lt;/EndNote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(20)</w:t>
      </w:r>
      <w:r w:rsidRPr="00D575BC">
        <w:rPr>
          <w:sz w:val="24"/>
          <w:szCs w:val="24"/>
          <w:rtl/>
        </w:rPr>
        <w:fldChar w:fldCharType="end"/>
      </w:r>
      <w:r w:rsidRPr="00D575BC">
        <w:rPr>
          <w:sz w:val="24"/>
          <w:szCs w:val="24"/>
          <w:rtl/>
        </w:rPr>
        <w:t xml:space="preserve"> و</w:t>
      </w:r>
      <w:r w:rsidRPr="00D575BC">
        <w:rPr>
          <w:sz w:val="24"/>
          <w:szCs w:val="24"/>
        </w:rPr>
        <w:t xml:space="preserve"> Jiang </w:t>
      </w:r>
      <w:r w:rsidRPr="00D575BC">
        <w:rPr>
          <w:sz w:val="24"/>
          <w:szCs w:val="24"/>
          <w:rtl/>
        </w:rPr>
        <w:t xml:space="preserve">و همکاران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&lt;EndNote&gt;&lt;Cite&gt;&lt;Author&gt;Jiang&lt;/Author&gt;&lt;Year&gt;2024&lt;/Year&gt;&lt;RecNum&gt;24&lt;/RecNum&gt;&lt;DisplayText&gt;(21)&lt;/DisplayText&gt;&lt;record&gt;&lt;rec-number&gt;24&lt;/rec-number&gt;&lt;foreign-keys&gt;&lt;key app="EN" db-id="tsp2zzadoxvaapevwpbvp0eq2parp20dee9r" timestamp="1763793470"&gt;24&lt;/key&gt;&lt;/foreign-keys&gt;&lt;ref-type name="Journal Article"&gt;17&lt;/ref-type&gt;&lt;contributors&gt;&lt;authors&gt;&lt;author&gt;Jiang, Mengmeng&lt;/author&gt;&lt;author&gt;Zheng, Zhuozhao&lt;/author&gt;&lt;author&gt;Wang, Xuan&lt;/author&gt;&lt;author&gt;Chen, Yanhao&lt;/author&gt;&lt;author&gt;Qu, Jing&lt;/author&gt;&lt;author&gt;Ding, Qiurong</w:instrText>
      </w:r>
      <w:r w:rsidRPr="00D575BC">
        <w:rPr>
          <w:sz w:val="24"/>
          <w:szCs w:val="24"/>
          <w:rtl/>
        </w:rPr>
        <w:instrText>&lt;/</w:instrText>
      </w:r>
      <w:r w:rsidRPr="00D575BC">
        <w:rPr>
          <w:sz w:val="24"/>
          <w:szCs w:val="24"/>
        </w:rPr>
        <w:instrText>author&gt;&lt;author&gt;Zhang, Weiqi&lt;/author&gt;&lt;author&gt;Liu, You-Shuo&lt;/author&gt;&lt;author&gt;Yang, Jichun&lt;/author&gt;&lt;/authors&gt;&lt;/contributors&gt;&lt;titles&gt;&lt;title&gt;A biomarker framework for liver aging: the Aging Biomarker Consortium consensus statement&lt;/title&gt;&lt;secondary-title&gt;Life Medicine&lt;/secondary-title&gt;&lt;/titles&gt;&lt;periodical&gt;&lt;full-title&gt;Life Medicine&lt;/full-title&gt;&lt;/periodical&gt;&lt;pages&gt;lnae004&lt;/pages&gt;&lt;volume&gt;3&lt;/volume&gt;&lt;number&gt;1&lt;/number&gt;&lt;dates&gt;&lt;year&gt;2024&lt;/year&gt;&lt;/dates&gt;&lt;isbn&gt;2755-1733&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(21)</w:t>
      </w:r>
      <w:r w:rsidRPr="00D575BC">
        <w:rPr>
          <w:sz w:val="24"/>
          <w:szCs w:val="24"/>
          <w:rtl/>
        </w:rPr>
        <w:fldChar w:fldCharType="end"/>
      </w:r>
      <w:r w:rsidRPr="00D575BC">
        <w:rPr>
          <w:rFonts w:hint="cs"/>
          <w:sz w:val="24"/>
          <w:szCs w:val="24"/>
          <w:rtl/>
        </w:rPr>
        <w:t xml:space="preserve"> </w:t>
      </w:r>
      <w:r w:rsidRPr="00D575BC">
        <w:rPr>
          <w:sz w:val="24"/>
          <w:szCs w:val="24"/>
          <w:rtl/>
        </w:rPr>
        <w:t>همخوانی دارد که تغییرات ساختاری و عملکردی کبد در سالمندی را به</w:t>
      </w:r>
      <w:r w:rsidRPr="00D575BC">
        <w:rPr>
          <w:rFonts w:hint="cs"/>
          <w:sz w:val="24"/>
          <w:szCs w:val="24"/>
          <w:rtl/>
        </w:rPr>
        <w:t xml:space="preserve"> </w:t>
      </w:r>
      <w:r w:rsidRPr="00D575BC">
        <w:rPr>
          <w:sz w:val="24"/>
          <w:szCs w:val="24"/>
          <w:rtl/>
        </w:rPr>
        <w:t>‌عنوان زمینه‌ساز بیماری‌های مرتبط با سن معرفی کرده‌اند</w:t>
      </w:r>
      <w:r w:rsidRPr="00D575BC">
        <w:rPr>
          <w:sz w:val="24"/>
          <w:szCs w:val="24"/>
        </w:rPr>
        <w:t>.</w:t>
      </w:r>
      <w:r w:rsidRPr="00D575BC">
        <w:rPr>
          <w:rFonts w:hint="cs"/>
          <w:sz w:val="24"/>
          <w:szCs w:val="24"/>
          <w:rtl/>
        </w:rPr>
        <w:t xml:space="preserve"> </w:t>
      </w:r>
      <w:r w:rsidRPr="00D575BC">
        <w:rPr>
          <w:sz w:val="24"/>
          <w:szCs w:val="24"/>
          <w:rtl/>
        </w:rPr>
        <w:t>با این حال، باید به جنبه‌های دوگانه</w:t>
      </w:r>
      <w:r w:rsidRPr="00D575BC">
        <w:rPr>
          <w:sz w:val="24"/>
          <w:szCs w:val="24"/>
        </w:rPr>
        <w:t xml:space="preserve"> CXCL1 </w:t>
      </w:r>
      <w:r w:rsidRPr="00D575BC">
        <w:rPr>
          <w:sz w:val="24"/>
          <w:szCs w:val="24"/>
          <w:rtl/>
        </w:rPr>
        <w:t>توجه داشت. اگرچه افزایش</w:t>
      </w:r>
      <w:r w:rsidRPr="00D575BC">
        <w:rPr>
          <w:sz w:val="24"/>
          <w:szCs w:val="24"/>
        </w:rPr>
        <w:t xml:space="preserve"> CXCL1 </w:t>
      </w:r>
      <w:r w:rsidRPr="00D575BC">
        <w:rPr>
          <w:sz w:val="24"/>
          <w:szCs w:val="24"/>
          <w:rtl/>
        </w:rPr>
        <w:t>می‌تواند ایمنی ذاتی و پاکسازی عوامل آسیب‌زا را تقویت کند، اما در برخی شرایط پاتولوژیک مانند کارسینوم هپاتوسلولار</w:t>
      </w:r>
      <w:r w:rsidRPr="00D575BC">
        <w:rPr>
          <w:rFonts w:hint="cs"/>
          <w:sz w:val="24"/>
          <w:szCs w:val="24"/>
          <w:rtl/>
        </w:rPr>
        <w:t xml:space="preserve"> (</w:t>
      </w:r>
      <w:r w:rsidRPr="00D575BC">
        <w:rPr>
          <w:sz w:val="24"/>
          <w:szCs w:val="24"/>
        </w:rPr>
        <w:t>HCC</w:t>
      </w:r>
      <w:r w:rsidRPr="00D575BC">
        <w:rPr>
          <w:rFonts w:hint="cs"/>
          <w:sz w:val="24"/>
          <w:szCs w:val="24"/>
          <w:rtl/>
        </w:rPr>
        <w:t>)</w:t>
      </w:r>
      <w:r w:rsidRPr="00D575BC">
        <w:rPr>
          <w:sz w:val="24"/>
          <w:szCs w:val="24"/>
          <w:rtl/>
        </w:rPr>
        <w:t xml:space="preserve">، </w:t>
      </w:r>
      <w:r w:rsidRPr="00D575BC">
        <w:rPr>
          <w:sz w:val="24"/>
          <w:szCs w:val="24"/>
        </w:rPr>
        <w:t>CXCL1</w:t>
      </w:r>
      <w:r w:rsidRPr="00D575BC">
        <w:rPr>
          <w:rFonts w:hint="cs"/>
          <w:sz w:val="24"/>
          <w:szCs w:val="24"/>
          <w:rtl/>
        </w:rPr>
        <w:t xml:space="preserve"> </w:t>
      </w:r>
      <w:r w:rsidRPr="00D575BC">
        <w:rPr>
          <w:sz w:val="24"/>
          <w:szCs w:val="24"/>
          <w:rtl/>
        </w:rPr>
        <w:t>با افزایش مهاجرت سلولی و تحریک آنژیوژنز نقش منفی ایفا می‌کند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&lt;EndNote&gt;&lt;Cite&gt;&lt;Author&gt;Li&lt;/Author&gt;&lt;Year&gt;2023&lt;/Year&gt;&lt;RecNum&gt;17&lt;/RecNum&gt;&lt;DisplayText&gt;(22)&lt;/DisplayText&gt;&lt;record&gt;&lt;rec-number&gt;17&lt;/rec-number&gt;&lt;foreign-keys&gt;&lt;key app="EN" db-id="tsp2zzadoxvaapevwpbvp0eq2parp20dee9r" timestamp="1763792746"&gt;17&lt;/key</w:instrText>
      </w:r>
      <w:r w:rsidRPr="00D575BC">
        <w:rPr>
          <w:sz w:val="24"/>
          <w:szCs w:val="24"/>
          <w:rtl/>
        </w:rPr>
        <w:instrText>&gt;&lt;/</w:instrText>
      </w:r>
      <w:r w:rsidRPr="00D575BC">
        <w:rPr>
          <w:sz w:val="24"/>
          <w:szCs w:val="24"/>
        </w:rPr>
        <w:instrText>foreign-keys&gt;&lt;ref-type name="Journal Article"&gt;17&lt;/ref-type&gt;&lt;contributors&gt;&lt;authors&gt;&lt;author&gt;Li, Dongming&lt;/author&gt;&lt;author&gt;Cao, Donghui&lt;/author&gt;&lt;author&gt;Cui, Yingnan&lt;/author&gt;&lt;author&gt;Sun, Yuanlin&lt;/author&gt;&lt;author&gt;Jiang, Jing&lt;/author&gt;&lt;author&gt;Cao, Xueyuan&lt;/author&gt;&lt;/authors&gt;&lt;/contributors&gt;&lt;titles&gt;&lt;title&gt;The potential of epigallocatechin gallate in the chemoprevention and therapy of hepatocellular carcinoma&lt;/title&gt;&lt;secondary-title&gt;Frontiers in Pharmacology&lt;/secondary-title&gt;&lt;/titles&gt;&lt;periodical&gt;&lt;full-title&gt;Frontiers in Pharmacology&lt;/full-title&gt;&lt;/periodical&gt;&lt;pages&gt;1201085&lt;/pages&gt;&lt;volume&gt;14&lt;/volume&gt;&lt;dates&gt;&lt;year&gt;2023&lt;/year&gt;&lt;/dates&gt;&lt;isbn&gt;1663-9812&lt;/isbn&gt;&lt;urls&gt;&lt;/urls&gt;&lt;/record&gt;&lt;/Cite&gt;&lt;/EndNote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(22)</w:t>
      </w:r>
      <w:r w:rsidRPr="00D575BC">
        <w:rPr>
          <w:sz w:val="24"/>
          <w:szCs w:val="24"/>
          <w:rtl/>
        </w:rPr>
        <w:fldChar w:fldCharType="end"/>
      </w:r>
      <w:r w:rsidRPr="00D575BC">
        <w:rPr>
          <w:rFonts w:hint="cs"/>
          <w:sz w:val="24"/>
          <w:szCs w:val="24"/>
          <w:rtl/>
        </w:rPr>
        <w:t xml:space="preserve">. </w:t>
      </w:r>
      <w:r w:rsidRPr="00D575BC">
        <w:rPr>
          <w:sz w:val="24"/>
          <w:szCs w:val="24"/>
          <w:rtl/>
        </w:rPr>
        <w:t xml:space="preserve">همچنین، </w:t>
      </w:r>
      <w:r w:rsidRPr="00D575BC">
        <w:rPr>
          <w:sz w:val="24"/>
          <w:szCs w:val="24"/>
        </w:rPr>
        <w:t xml:space="preserve">Al </w:t>
      </w:r>
      <w:proofErr w:type="spellStart"/>
      <w:r w:rsidRPr="00D575BC">
        <w:rPr>
          <w:sz w:val="24"/>
          <w:szCs w:val="24"/>
        </w:rPr>
        <w:t>Aameri</w:t>
      </w:r>
      <w:proofErr w:type="spellEnd"/>
      <w:r w:rsidRPr="00D575BC">
        <w:rPr>
          <w:rFonts w:hint="cs"/>
          <w:sz w:val="24"/>
          <w:szCs w:val="24"/>
          <w:rtl/>
        </w:rPr>
        <w:t xml:space="preserve"> </w:t>
      </w:r>
      <w:r w:rsidRPr="00D575BC">
        <w:rPr>
          <w:sz w:val="24"/>
          <w:szCs w:val="24"/>
          <w:rtl/>
        </w:rPr>
        <w:t>و همکاران نشان دادند که افزایش</w:t>
      </w:r>
      <w:r w:rsidRPr="00D575BC">
        <w:rPr>
          <w:sz w:val="24"/>
          <w:szCs w:val="24"/>
        </w:rPr>
        <w:t xml:space="preserve"> CXCL1 </w:t>
      </w:r>
      <w:r w:rsidRPr="00D575BC">
        <w:rPr>
          <w:sz w:val="24"/>
          <w:szCs w:val="24"/>
          <w:rtl/>
        </w:rPr>
        <w:t>در سمیت ناشی از سیس‌پلاتین با آسیب شنوایی مرتبط است و مهار</w:t>
      </w:r>
      <w:r w:rsidRPr="00D575BC">
        <w:rPr>
          <w:sz w:val="24"/>
          <w:szCs w:val="24"/>
        </w:rPr>
        <w:t xml:space="preserve"> CXCR2 </w:t>
      </w:r>
      <w:r w:rsidRPr="00D575BC">
        <w:rPr>
          <w:sz w:val="24"/>
          <w:szCs w:val="24"/>
          <w:rtl/>
        </w:rPr>
        <w:t>می‌تواند اثرات محافظتی قابل توجهی داشته باشد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&lt;EndNote&gt;&lt;Cite&gt;&lt;Author&gt;Al Aameri&lt;/Author&gt;&lt;Year&gt;2023&lt;/Year&gt;&lt;RecNum&gt;22&lt;/RecNum&gt;&lt;DisplayText&gt;(23)&lt;/DisplayText&gt;&lt;record&gt;&lt;rec-number&gt;22&lt;/rec-number&gt;&lt;foreign-keys&gt;&lt;key app="EN" db-id="tsp2zzadoxvaapevwpbvp0eq2parp20dee9r" timestamp="1763793208"&gt;2</w:instrText>
      </w:r>
      <w:r w:rsidRPr="00D575BC">
        <w:rPr>
          <w:sz w:val="24"/>
          <w:szCs w:val="24"/>
          <w:rtl/>
        </w:rPr>
        <w:instrText>2&lt;/</w:instrText>
      </w:r>
      <w:r w:rsidRPr="00D575BC">
        <w:rPr>
          <w:sz w:val="24"/>
          <w:szCs w:val="24"/>
        </w:rPr>
        <w:instrText>key&gt;&lt;/foreign-keys&gt;&lt;ref-type name="Journal Article"&gt;17&lt;/ref-type&gt;&lt;contributors&gt;&lt;authors&gt;&lt;author&gt;Al Aameri, Raheem FH&lt;/author&gt;&lt;author&gt;Alanisi, Entkhab MA&lt;/author&gt;&lt;author&gt;Oluwatosin, Adu&lt;/author&gt;&lt;author&gt;Al Sallami, Dheyaa&lt;/author&gt;&lt;author&gt;Sheth, Sandeep</w:instrText>
      </w:r>
      <w:r w:rsidRPr="00D575BC">
        <w:rPr>
          <w:sz w:val="24"/>
          <w:szCs w:val="24"/>
          <w:rtl/>
        </w:rPr>
        <w:instrText>&lt;/</w:instrText>
      </w:r>
      <w:r w:rsidRPr="00D575BC">
        <w:rPr>
          <w:sz w:val="24"/>
          <w:szCs w:val="24"/>
        </w:rPr>
        <w:instrText>author&gt;&lt;author&gt;Alberts, Ian&lt;/author&gt;&lt;author&gt;Patel, Shree&lt;/author&gt;&lt;author&gt;Rybak, Leonard P&lt;/author&gt;&lt;author&gt;Ramkumar, Vickram&lt;/author&gt;&lt;/authors&gt;&lt;/contributors&gt;&lt;titles&gt;&lt;title&gt;Targeting CXCL1 chemokine signaling for treating cisplatin ototoxicity&lt;/title&gt;&lt;secondary-title&gt;Frontiers in immunology&lt;/secondary-title&gt;&lt;/titles&gt;&lt;periodical&gt;&lt;full-title&gt;Frontiers in immunology&lt;/full-title&gt;&lt;/periodical&gt;&lt;pages&gt;1125948&lt;/pages&gt;&lt;volume&gt;14&lt;/volume&gt;&lt;dates&gt;&lt;year&gt;2023&lt;/year&gt;&lt;/dates&gt;&lt;isbn&gt;1664-3224&lt;/isbn&gt;&lt;urls&gt;&lt;/urls&gt;&lt;/record&gt;&lt;/Cite&gt;&lt;/EndNote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(23)</w:t>
      </w:r>
      <w:r w:rsidRPr="00D575BC">
        <w:rPr>
          <w:sz w:val="24"/>
          <w:szCs w:val="24"/>
          <w:rtl/>
        </w:rPr>
        <w:fldChar w:fldCharType="end"/>
      </w:r>
      <w:r w:rsidRPr="00D575BC">
        <w:rPr>
          <w:sz w:val="24"/>
          <w:szCs w:val="24"/>
          <w:rtl/>
        </w:rPr>
        <w:t>. بنابراین، افزایش</w:t>
      </w:r>
      <w:r w:rsidRPr="00D575BC">
        <w:rPr>
          <w:sz w:val="24"/>
          <w:szCs w:val="24"/>
        </w:rPr>
        <w:t xml:space="preserve"> CXCL1</w:t>
      </w:r>
      <w:r w:rsidRPr="00D575BC">
        <w:rPr>
          <w:rFonts w:hint="cs"/>
          <w:sz w:val="24"/>
          <w:szCs w:val="24"/>
          <w:rtl/>
        </w:rPr>
        <w:t xml:space="preserve"> </w:t>
      </w:r>
      <w:r w:rsidRPr="00D575BC">
        <w:rPr>
          <w:sz w:val="24"/>
          <w:szCs w:val="24"/>
          <w:rtl/>
        </w:rPr>
        <w:t>توسط</w:t>
      </w:r>
      <w:r w:rsidRPr="00D575BC">
        <w:rPr>
          <w:sz w:val="24"/>
          <w:szCs w:val="24"/>
        </w:rPr>
        <w:t xml:space="preserve"> EGCG </w:t>
      </w:r>
      <w:r w:rsidRPr="00D575BC">
        <w:rPr>
          <w:sz w:val="24"/>
          <w:szCs w:val="24"/>
          <w:rtl/>
        </w:rPr>
        <w:t>ممکن است اثرات متناقضی داشته باشد و نیازمند بررسی دقیق‌تر در زمینه‌های مختلف بالینی است</w:t>
      </w:r>
      <w:r w:rsidRPr="00D575BC">
        <w:rPr>
          <w:sz w:val="24"/>
          <w:szCs w:val="24"/>
        </w:rPr>
        <w:t>.</w:t>
      </w:r>
    </w:p>
    <w:p w14:paraId="650E97A4" w14:textId="77777777" w:rsidR="00CF69B3" w:rsidRPr="00D575BC" w:rsidRDefault="00CF69B3" w:rsidP="00CF69B3">
      <w:pPr>
        <w:pStyle w:val="a0"/>
        <w:rPr>
          <w:sz w:val="24"/>
          <w:szCs w:val="24"/>
        </w:rPr>
      </w:pPr>
      <w:r w:rsidRPr="00D575BC">
        <w:rPr>
          <w:sz w:val="24"/>
          <w:szCs w:val="24"/>
          <w:rtl/>
        </w:rPr>
        <w:lastRenderedPageBreak/>
        <w:t xml:space="preserve">یافته‌های مطالعه حاضر نشان داد که در گروه سالمند افزایش معناداری در سطح سیتوکین‌های التهابی </w:t>
      </w:r>
      <w:r w:rsidRPr="00D575BC">
        <w:rPr>
          <w:sz w:val="24"/>
          <w:szCs w:val="24"/>
        </w:rPr>
        <w:t>TNF-α</w:t>
      </w:r>
      <w:r w:rsidRPr="00D575BC">
        <w:rPr>
          <w:sz w:val="24"/>
          <w:szCs w:val="24"/>
          <w:rtl/>
        </w:rPr>
        <w:t xml:space="preserve">، </w:t>
      </w:r>
      <w:r w:rsidRPr="00D575BC">
        <w:rPr>
          <w:sz w:val="24"/>
          <w:szCs w:val="24"/>
        </w:rPr>
        <w:t>IL-6</w:t>
      </w:r>
      <w:r w:rsidRPr="00D575BC">
        <w:rPr>
          <w:rFonts w:hint="cs"/>
          <w:sz w:val="24"/>
          <w:szCs w:val="24"/>
          <w:rtl/>
        </w:rPr>
        <w:t xml:space="preserve"> </w:t>
      </w:r>
      <w:r w:rsidRPr="00D575BC">
        <w:rPr>
          <w:sz w:val="24"/>
          <w:szCs w:val="24"/>
          <w:rtl/>
        </w:rPr>
        <w:t>و</w:t>
      </w:r>
      <w:r w:rsidRPr="00D575BC">
        <w:rPr>
          <w:sz w:val="24"/>
          <w:szCs w:val="24"/>
        </w:rPr>
        <w:t xml:space="preserve"> MCP-1 </w:t>
      </w:r>
      <w:r w:rsidRPr="00D575BC">
        <w:rPr>
          <w:sz w:val="24"/>
          <w:szCs w:val="24"/>
          <w:rtl/>
        </w:rPr>
        <w:t xml:space="preserve">وجود داشت؛ تغییری که بیانگر فعال شدن مسیرهای التهابی و اختلال در تنظیم ایمنی ذاتی در فرآیند سالمندی است. در مقابل، تجویز </w:t>
      </w:r>
      <w:r w:rsidRPr="00D575BC">
        <w:rPr>
          <w:sz w:val="24"/>
          <w:szCs w:val="24"/>
        </w:rPr>
        <w:t>EGCG</w:t>
      </w:r>
      <w:r w:rsidRPr="00D575BC">
        <w:rPr>
          <w:rFonts w:hint="cs"/>
          <w:sz w:val="24"/>
          <w:szCs w:val="24"/>
          <w:rtl/>
        </w:rPr>
        <w:t xml:space="preserve"> </w:t>
      </w:r>
      <w:r w:rsidRPr="00D575BC">
        <w:rPr>
          <w:sz w:val="24"/>
          <w:szCs w:val="24"/>
          <w:rtl/>
        </w:rPr>
        <w:t>در گروه‌های درمانی توانست کاهش چشمگیر این سیتوکین‌ها را ایجاد کند و در گروه درمانی دوم سطح آن‌ها را به محدوده طبیعی بازگرداند. این یافته‌ها نشان می‌دهد که</w:t>
      </w:r>
      <w:r w:rsidRPr="00D575BC">
        <w:rPr>
          <w:sz w:val="24"/>
          <w:szCs w:val="24"/>
        </w:rPr>
        <w:t xml:space="preserve"> EGCG</w:t>
      </w:r>
      <w:r w:rsidRPr="00D575BC">
        <w:rPr>
          <w:rFonts w:hint="cs"/>
          <w:sz w:val="24"/>
          <w:szCs w:val="24"/>
          <w:rtl/>
        </w:rPr>
        <w:t xml:space="preserve"> </w:t>
      </w:r>
      <w:r w:rsidRPr="00D575BC">
        <w:rPr>
          <w:sz w:val="24"/>
          <w:szCs w:val="24"/>
          <w:rtl/>
        </w:rPr>
        <w:t>علاوه بر اثرات ضدالتهابی در شرایط فیزیولوژیک طبیعی، قادر است پاسخ‌های ایمنی مختل</w:t>
      </w:r>
      <w:r w:rsidRPr="00D575BC">
        <w:rPr>
          <w:rFonts w:hint="cs"/>
          <w:sz w:val="24"/>
          <w:szCs w:val="24"/>
          <w:rtl/>
        </w:rPr>
        <w:t xml:space="preserve"> </w:t>
      </w:r>
      <w:r w:rsidRPr="00D575BC">
        <w:rPr>
          <w:sz w:val="24"/>
          <w:szCs w:val="24"/>
          <w:rtl/>
        </w:rPr>
        <w:t>‌شده در سالمندی را نیز بازآرایی نماید و بهبود عملکرد ایمنی را تسهیل کند</w:t>
      </w:r>
      <w:r w:rsidRPr="00D575BC">
        <w:rPr>
          <w:sz w:val="24"/>
          <w:szCs w:val="24"/>
        </w:rPr>
        <w:t>.</w:t>
      </w:r>
      <w:r w:rsidRPr="00D575BC">
        <w:rPr>
          <w:rFonts w:hint="cs"/>
          <w:sz w:val="24"/>
          <w:szCs w:val="24"/>
          <w:rtl/>
        </w:rPr>
        <w:t xml:space="preserve"> </w:t>
      </w:r>
      <w:r w:rsidRPr="00D575BC">
        <w:rPr>
          <w:sz w:val="24"/>
          <w:szCs w:val="24"/>
          <w:rtl/>
        </w:rPr>
        <w:t>مطالعات پیشین نیز این نتایج را تأیید کرده‌اند. به</w:t>
      </w:r>
      <w:r w:rsidRPr="00D575BC">
        <w:rPr>
          <w:rFonts w:hint="cs"/>
          <w:sz w:val="24"/>
          <w:szCs w:val="24"/>
          <w:rtl/>
        </w:rPr>
        <w:t xml:space="preserve"> </w:t>
      </w:r>
      <w:r w:rsidRPr="00D575BC">
        <w:rPr>
          <w:sz w:val="24"/>
          <w:szCs w:val="24"/>
          <w:rtl/>
        </w:rPr>
        <w:t xml:space="preserve">‌طور مثال، </w:t>
      </w:r>
      <w:r w:rsidRPr="00D575BC">
        <w:rPr>
          <w:sz w:val="24"/>
          <w:szCs w:val="24"/>
        </w:rPr>
        <w:t>Yang</w:t>
      </w:r>
      <w:r w:rsidRPr="00D575BC">
        <w:rPr>
          <w:rFonts w:hint="cs"/>
          <w:sz w:val="24"/>
          <w:szCs w:val="24"/>
          <w:rtl/>
        </w:rPr>
        <w:t xml:space="preserve"> </w:t>
      </w:r>
      <w:r w:rsidRPr="00D575BC">
        <w:rPr>
          <w:sz w:val="24"/>
          <w:szCs w:val="24"/>
          <w:rtl/>
        </w:rPr>
        <w:t>و همکاران نشان دادند که</w:t>
      </w:r>
      <w:r w:rsidRPr="00D575BC">
        <w:rPr>
          <w:sz w:val="24"/>
          <w:szCs w:val="24"/>
        </w:rPr>
        <w:t xml:space="preserve"> EGCG </w:t>
      </w:r>
      <w:r w:rsidRPr="00D575BC">
        <w:rPr>
          <w:sz w:val="24"/>
          <w:szCs w:val="24"/>
          <w:rtl/>
        </w:rPr>
        <w:t xml:space="preserve">با تنظیم مسیر </w:t>
      </w:r>
      <w:r w:rsidRPr="00D575BC">
        <w:rPr>
          <w:sz w:val="24"/>
          <w:szCs w:val="24"/>
        </w:rPr>
        <w:t>Keap1/Nrf2/HO-1</w:t>
      </w:r>
      <w:r w:rsidRPr="00D575BC">
        <w:rPr>
          <w:rFonts w:hint="cs"/>
          <w:sz w:val="24"/>
          <w:szCs w:val="24"/>
          <w:rtl/>
        </w:rPr>
        <w:t xml:space="preserve"> </w:t>
      </w:r>
      <w:r w:rsidRPr="00D575BC">
        <w:rPr>
          <w:sz w:val="24"/>
          <w:szCs w:val="24"/>
          <w:rtl/>
        </w:rPr>
        <w:t xml:space="preserve">قادر است پاسخ‌های التهابی و استرس اکسیداتیو را در سلول‌های فیبروبلاست لیگامان پریودنتال انسان کاهش دهد. این ترکیب علاوه بر مهار تولید سیتوکین‌های التهابی کلیدی مانند </w:t>
      </w:r>
      <w:r w:rsidRPr="00D575BC">
        <w:rPr>
          <w:sz w:val="24"/>
          <w:szCs w:val="24"/>
        </w:rPr>
        <w:t>TNF-α</w:t>
      </w:r>
      <w:r w:rsidRPr="00D575BC">
        <w:rPr>
          <w:rFonts w:hint="cs"/>
          <w:sz w:val="24"/>
          <w:szCs w:val="24"/>
          <w:rtl/>
        </w:rPr>
        <w:t xml:space="preserve"> </w:t>
      </w:r>
      <w:r w:rsidRPr="00D575BC">
        <w:rPr>
          <w:sz w:val="24"/>
          <w:szCs w:val="24"/>
          <w:rtl/>
        </w:rPr>
        <w:t>و</w:t>
      </w:r>
      <w:r w:rsidRPr="00D575BC">
        <w:rPr>
          <w:rFonts w:hint="cs"/>
          <w:sz w:val="24"/>
          <w:szCs w:val="24"/>
          <w:rtl/>
        </w:rPr>
        <w:t xml:space="preserve"> </w:t>
      </w:r>
      <w:r w:rsidRPr="00D575BC">
        <w:rPr>
          <w:sz w:val="24"/>
          <w:szCs w:val="24"/>
        </w:rPr>
        <w:t>IL-1β</w:t>
      </w:r>
      <w:r w:rsidRPr="00D575BC">
        <w:rPr>
          <w:sz w:val="24"/>
          <w:szCs w:val="24"/>
          <w:rtl/>
        </w:rPr>
        <w:t xml:space="preserve">، مسیر آنتی‌اکسیدانی </w:t>
      </w:r>
      <w:r w:rsidRPr="00D575BC">
        <w:rPr>
          <w:sz w:val="24"/>
          <w:szCs w:val="24"/>
        </w:rPr>
        <w:t>Nrf2</w:t>
      </w:r>
      <w:r w:rsidRPr="00D575BC">
        <w:rPr>
          <w:rFonts w:hint="cs"/>
          <w:sz w:val="24"/>
          <w:szCs w:val="24"/>
          <w:rtl/>
        </w:rPr>
        <w:t xml:space="preserve"> </w:t>
      </w:r>
      <w:r w:rsidRPr="00D575BC">
        <w:rPr>
          <w:sz w:val="24"/>
          <w:szCs w:val="24"/>
          <w:rtl/>
        </w:rPr>
        <w:t>را فعال کرده و تولید گونه‌های واکنش‌پذیر اکسیژن</w:t>
      </w:r>
      <w:r w:rsidRPr="00D575BC">
        <w:rPr>
          <w:rFonts w:hint="cs"/>
          <w:sz w:val="24"/>
          <w:szCs w:val="24"/>
          <w:rtl/>
        </w:rPr>
        <w:t xml:space="preserve"> (</w:t>
      </w:r>
      <w:r w:rsidRPr="00D575BC">
        <w:rPr>
          <w:sz w:val="24"/>
          <w:szCs w:val="24"/>
        </w:rPr>
        <w:t>ROS</w:t>
      </w:r>
      <w:r w:rsidRPr="00D575BC">
        <w:rPr>
          <w:rFonts w:hint="cs"/>
          <w:sz w:val="24"/>
          <w:szCs w:val="24"/>
          <w:rtl/>
        </w:rPr>
        <w:t>)</w:t>
      </w:r>
      <w:r w:rsidRPr="00D575BC">
        <w:rPr>
          <w:sz w:val="24"/>
          <w:szCs w:val="24"/>
        </w:rPr>
        <w:t xml:space="preserve"> </w:t>
      </w:r>
      <w:r w:rsidRPr="00D575BC">
        <w:rPr>
          <w:sz w:val="24"/>
          <w:szCs w:val="24"/>
          <w:rtl/>
        </w:rPr>
        <w:t>را کاهش می‌دهد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&lt;EndNote&gt;&lt;Cite&gt;&lt;Author&gt;Yang&lt;/Author&gt;&lt;Year&gt;2016&lt;/Year&gt;&lt;RecNum&gt;25&lt;/RecNum&gt;&lt;DisplayText&gt;(24)&lt;/DisplayText&gt;&lt;record&gt;&lt;rec-number&gt;25&lt;/rec-number&gt;&lt;foreign-keys&gt;&lt;key app="EN" db-id="tsp2zzadoxvaapevwpbvp0eq2parp20dee9r" timestamp="1763793792"&gt;25&lt;/key&gt;&lt;/foreign-keys&gt;&lt;ref-type name="Journal Article"&gt;17&lt;/ref-type&gt;&lt;contributors&gt;&lt;authors&gt;&lt;author&gt;Yang, Chung S&lt;/author&gt;&lt;author&gt;Zhang, Jinsong&lt;/author&gt;&lt;author&gt;Zhang, Le&lt;/author&gt;&lt;author&gt;Huang, Jinbao&lt;/author&gt;&lt;author&gt;Wang, Yijun&lt;/author&gt;&lt;/authors&gt;&lt;/contributors</w:instrText>
      </w:r>
      <w:r w:rsidRPr="00D575BC">
        <w:rPr>
          <w:sz w:val="24"/>
          <w:szCs w:val="24"/>
          <w:rtl/>
        </w:rPr>
        <w:instrText>&gt;&lt;</w:instrText>
      </w:r>
      <w:r w:rsidRPr="00D575BC">
        <w:rPr>
          <w:sz w:val="24"/>
          <w:szCs w:val="24"/>
        </w:rPr>
        <w:instrText>titles&gt;&lt;title&gt;Mechanisms of body weight reduction and metabolic syndrome alleviation by tea&lt;/title&gt;&lt;secondary-title&gt;Molecular nutrition &amp;amp; food research&lt;/secondary-title&gt;&lt;/titles&gt;&lt;periodical&gt;&lt;full-title&gt;Molecular nutrition &amp;amp; food research&lt;/full-title&gt;&lt;/periodical&gt;&lt;pages&gt;160-174&lt;/pages&gt;&lt;volume&gt;60&lt;/volume&gt;&lt;number&gt;1&lt;/number&gt;&lt;dates&gt;&lt;year&gt;2016&lt;/year&gt;&lt;/dates&gt;&lt;isbn&gt;1613-4125&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(24)</w:t>
      </w:r>
      <w:r w:rsidRPr="00D575BC">
        <w:rPr>
          <w:sz w:val="24"/>
          <w:szCs w:val="24"/>
          <w:rtl/>
        </w:rPr>
        <w:fldChar w:fldCharType="end"/>
      </w:r>
      <w:r w:rsidRPr="00D575BC">
        <w:rPr>
          <w:sz w:val="24"/>
          <w:szCs w:val="24"/>
          <w:rtl/>
        </w:rPr>
        <w:t xml:space="preserve">. به طور مشابه، </w:t>
      </w:r>
      <w:proofErr w:type="spellStart"/>
      <w:r w:rsidRPr="00D575BC">
        <w:rPr>
          <w:sz w:val="24"/>
          <w:szCs w:val="24"/>
        </w:rPr>
        <w:t>Adamcakova</w:t>
      </w:r>
      <w:proofErr w:type="spellEnd"/>
      <w:r w:rsidRPr="00D575BC">
        <w:rPr>
          <w:rFonts w:hint="cs"/>
          <w:sz w:val="24"/>
          <w:szCs w:val="24"/>
          <w:rtl/>
        </w:rPr>
        <w:t xml:space="preserve"> </w:t>
      </w:r>
      <w:r w:rsidRPr="00D575BC">
        <w:rPr>
          <w:sz w:val="24"/>
          <w:szCs w:val="24"/>
          <w:rtl/>
        </w:rPr>
        <w:t>و همکاران</w:t>
      </w:r>
      <w:r w:rsidRPr="00D575BC">
        <w:rPr>
          <w:sz w:val="24"/>
          <w:szCs w:val="24"/>
        </w:rPr>
        <w:t xml:space="preserve"> </w:t>
      </w:r>
      <w:r w:rsidRPr="00D575BC">
        <w:rPr>
          <w:sz w:val="24"/>
          <w:szCs w:val="24"/>
          <w:rtl/>
        </w:rPr>
        <w:t>در مدل سیلیکوزیس ریوی نشان دادند که درمان با</w:t>
      </w:r>
      <w:r w:rsidRPr="00D575BC">
        <w:rPr>
          <w:sz w:val="24"/>
          <w:szCs w:val="24"/>
        </w:rPr>
        <w:t xml:space="preserve"> EGCG </w:t>
      </w:r>
      <w:r w:rsidRPr="00D575BC">
        <w:rPr>
          <w:sz w:val="24"/>
          <w:szCs w:val="24"/>
          <w:rtl/>
        </w:rPr>
        <w:t>می‌تواند التهاب و فیبروز را کاهش دهد و روند تغییرات ناشی از استرس اکسیداتیو، از جمله آپوپتوز، را تعدیل کند. این یافته‌ها نشان می‌دهد که</w:t>
      </w:r>
      <w:r w:rsidRPr="00D575BC">
        <w:rPr>
          <w:sz w:val="24"/>
          <w:szCs w:val="24"/>
        </w:rPr>
        <w:t xml:space="preserve"> EGCG </w:t>
      </w:r>
      <w:r w:rsidRPr="00D575BC">
        <w:rPr>
          <w:sz w:val="24"/>
          <w:szCs w:val="24"/>
          <w:rtl/>
        </w:rPr>
        <w:t>با مهار مسیرهای التهابی و کاهش آسیب‌های اکسیداتیو، اثر محافظتی قابل توجهی در بافت‌های ریوی دارد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&lt;EndNote&gt;&lt;Cite&gt;&lt;Author&gt;Adamcakova&lt;/Author&gt;&lt;Year&gt;2023&lt;/Year&gt;&lt;RecNum&gt;19&lt;/RecNum&gt;&lt;DisplayText&gt;(17)&lt;/DisplayText&gt;&lt;record&gt;&lt;rec-number&gt;19&lt;/rec-number&gt;&lt;foreign-keys&gt;&lt;key app="EN" db-id="tsp2zzadoxvaapevwpbvp0eq2parp20dee9r" timestamp="1763792916</w:instrText>
      </w:r>
      <w:r w:rsidRPr="00D575BC">
        <w:rPr>
          <w:sz w:val="24"/>
          <w:szCs w:val="24"/>
          <w:rtl/>
        </w:rPr>
        <w:instrText>"&gt;19&lt;/</w:instrText>
      </w:r>
      <w:r w:rsidRPr="00D575BC">
        <w:rPr>
          <w:sz w:val="24"/>
          <w:szCs w:val="24"/>
        </w:rPr>
        <w:instrText>key&gt;&lt;/foreign-keys&gt;&lt;ref-type name="Journal Article"&gt;17&lt;/ref-type&gt;&lt;contributors&gt;&lt;authors&gt;&lt;author&gt;Adamcakova, Jana&lt;/author&gt;&lt;author&gt;Balentova, Sona&lt;/author&gt;&lt;author&gt;Barosova, Romana&lt;/author&gt;&lt;author&gt;Hanusrichterova, Juliana&lt;/author&gt;&lt;author&gt;Mikolka, Pavol</w:instrText>
      </w:r>
      <w:r w:rsidRPr="00D575BC">
        <w:rPr>
          <w:sz w:val="24"/>
          <w:szCs w:val="24"/>
          <w:rtl/>
        </w:rPr>
        <w:instrText>&lt;/</w:instrText>
      </w:r>
      <w:r w:rsidRPr="00D575BC">
        <w:rPr>
          <w:sz w:val="24"/>
          <w:szCs w:val="24"/>
        </w:rPr>
        <w:instrText>author&gt;&lt;author&gt;Prso, Kristian&lt;/author&gt;&lt;author&gt;Mokry, Juraj&lt;/author&gt;&lt;author&gt;Tatarkova, Zuzana&lt;/author&gt;&lt;author&gt;Kalenska, Dagmar&lt;/author&gt;&lt;author&gt;Mokra, Daniela&lt;/author&gt;&lt;/authors&gt;&lt;/contributors&gt;&lt;titles&gt;&lt;title&gt;Effects of green tea polyphenol epigallocatechin-3</w:instrText>
      </w:r>
      <w:r w:rsidRPr="00D575BC">
        <w:rPr>
          <w:sz w:val="24"/>
          <w:szCs w:val="24"/>
          <w:rtl/>
        </w:rPr>
        <w:instrText>-</w:instrText>
      </w:r>
      <w:r w:rsidRPr="00D575BC">
        <w:rPr>
          <w:sz w:val="24"/>
          <w:szCs w:val="24"/>
        </w:rPr>
        <w:instrText>gallate on markers of inflammation and fibrosis in a rat model of pulmonary silicosis&lt;/title&gt;&lt;secondary-title&gt;International Journal of Molecular Sciences&lt;/secondary-title&gt;&lt;/titles&gt;&lt;periodical&gt;&lt;full-title&gt;International journal of molecular sciences&lt;/full</w:instrText>
      </w:r>
      <w:r w:rsidRPr="00D575BC">
        <w:rPr>
          <w:sz w:val="24"/>
          <w:szCs w:val="24"/>
          <w:rtl/>
        </w:rPr>
        <w:instrText>-</w:instrText>
      </w:r>
      <w:r w:rsidRPr="00D575BC">
        <w:rPr>
          <w:sz w:val="24"/>
          <w:szCs w:val="24"/>
        </w:rPr>
        <w:instrText>title&gt;&lt;/periodical&gt;&lt;pages&gt;1857&lt;/pages&gt;&lt;volume&gt;24&lt;/volume&gt;&lt;number&gt;3&lt;/number&gt;&lt;dates&gt;&lt;year&gt;2023&lt;/year&gt;&lt;/dates&gt;&lt;isbn&gt;1422-0067&lt;/isbn&gt;&lt;urls&gt;&lt;/urls&gt;&lt;/record&gt;&lt;/Cite&gt;&lt;/EndNote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(17)</w:t>
      </w:r>
      <w:r w:rsidRPr="00D575BC">
        <w:rPr>
          <w:sz w:val="24"/>
          <w:szCs w:val="24"/>
          <w:rtl/>
        </w:rPr>
        <w:fldChar w:fldCharType="end"/>
      </w:r>
      <w:r w:rsidRPr="00D575BC">
        <w:rPr>
          <w:sz w:val="24"/>
          <w:szCs w:val="24"/>
        </w:rPr>
        <w:t>.</w:t>
      </w:r>
      <w:r w:rsidRPr="00D575BC">
        <w:rPr>
          <w:rFonts w:hint="cs"/>
          <w:sz w:val="24"/>
          <w:szCs w:val="24"/>
          <w:rtl/>
        </w:rPr>
        <w:t xml:space="preserve"> </w:t>
      </w:r>
      <w:r w:rsidRPr="00D575BC">
        <w:rPr>
          <w:sz w:val="24"/>
          <w:szCs w:val="24"/>
          <w:rtl/>
        </w:rPr>
        <w:t>همچنین، محسن‌زاده و همکاران</w:t>
      </w:r>
      <w:r w:rsidRPr="00D575BC">
        <w:rPr>
          <w:sz w:val="24"/>
          <w:szCs w:val="24"/>
        </w:rPr>
        <w:t xml:space="preserve"> </w:t>
      </w:r>
      <w:r w:rsidRPr="00D575BC">
        <w:rPr>
          <w:sz w:val="24"/>
          <w:szCs w:val="24"/>
          <w:rtl/>
        </w:rPr>
        <w:t>گزارش کردند که</w:t>
      </w:r>
      <w:r w:rsidRPr="00D575BC">
        <w:rPr>
          <w:sz w:val="24"/>
          <w:szCs w:val="24"/>
        </w:rPr>
        <w:t xml:space="preserve"> EGCG </w:t>
      </w:r>
      <w:r w:rsidRPr="00D575BC">
        <w:rPr>
          <w:sz w:val="24"/>
          <w:szCs w:val="24"/>
          <w:rtl/>
        </w:rPr>
        <w:t>قادر است اثرات مضر بیسفنول</w:t>
      </w:r>
      <w:r w:rsidRPr="00D575BC">
        <w:rPr>
          <w:sz w:val="24"/>
          <w:szCs w:val="24"/>
        </w:rPr>
        <w:t xml:space="preserve"> A </w:t>
      </w:r>
      <w:r w:rsidRPr="00D575BC">
        <w:rPr>
          <w:sz w:val="24"/>
          <w:szCs w:val="24"/>
          <w:rtl/>
        </w:rPr>
        <w:t xml:space="preserve">را از طریق کاهش استرس اکسیداتیو و تنظیم مسیرهای سیگنالینگ انسولین تعدیل کند. در این مطالعه، </w:t>
      </w:r>
      <w:r w:rsidRPr="00D575BC">
        <w:rPr>
          <w:sz w:val="24"/>
          <w:szCs w:val="24"/>
        </w:rPr>
        <w:t>EGCG</w:t>
      </w:r>
      <w:r w:rsidRPr="00D575BC">
        <w:rPr>
          <w:rFonts w:hint="cs"/>
          <w:sz w:val="24"/>
          <w:szCs w:val="24"/>
          <w:rtl/>
        </w:rPr>
        <w:t xml:space="preserve"> </w:t>
      </w:r>
      <w:r w:rsidRPr="00D575BC">
        <w:rPr>
          <w:sz w:val="24"/>
          <w:szCs w:val="24"/>
          <w:rtl/>
        </w:rPr>
        <w:t xml:space="preserve">با کاهش سطح </w:t>
      </w:r>
      <w:r w:rsidRPr="00D575BC">
        <w:rPr>
          <w:sz w:val="24"/>
          <w:szCs w:val="24"/>
        </w:rPr>
        <w:t>TNF-α</w:t>
      </w:r>
      <w:r w:rsidRPr="00D575BC">
        <w:rPr>
          <w:sz w:val="24"/>
          <w:szCs w:val="24"/>
          <w:rtl/>
        </w:rPr>
        <w:t xml:space="preserve">، </w:t>
      </w:r>
      <w:r w:rsidRPr="00D575BC">
        <w:rPr>
          <w:sz w:val="24"/>
          <w:szCs w:val="24"/>
        </w:rPr>
        <w:t>IL-6</w:t>
      </w:r>
      <w:r w:rsidRPr="00D575BC">
        <w:rPr>
          <w:rFonts w:hint="cs"/>
          <w:sz w:val="24"/>
          <w:szCs w:val="24"/>
          <w:rtl/>
        </w:rPr>
        <w:t xml:space="preserve"> </w:t>
      </w:r>
      <w:r w:rsidRPr="00D575BC">
        <w:rPr>
          <w:sz w:val="24"/>
          <w:szCs w:val="24"/>
          <w:rtl/>
        </w:rPr>
        <w:t>و آنزیم‌های کبدی، و فعال‌سازی مسیرهای آنتی‌اکسیدانی، توانست اختلالات متابولیکی ناشی از بیسفنول</w:t>
      </w:r>
      <w:r w:rsidRPr="00D575BC">
        <w:rPr>
          <w:sz w:val="24"/>
          <w:szCs w:val="24"/>
        </w:rPr>
        <w:t xml:space="preserve"> A </w:t>
      </w:r>
      <w:r w:rsidRPr="00D575BC">
        <w:rPr>
          <w:sz w:val="24"/>
          <w:szCs w:val="24"/>
          <w:rtl/>
        </w:rPr>
        <w:t>را بهبود بخشد</w:t>
      </w:r>
      <w:r w:rsidRPr="00D575BC">
        <w:rPr>
          <w:rFonts w:hint="cs"/>
          <w:sz w:val="24"/>
          <w:szCs w:val="24"/>
          <w:rtl/>
        </w:rPr>
        <w:t xml:space="preserve"> </w:t>
      </w:r>
      <w:r w:rsidRPr="00D575BC">
        <w:rPr>
          <w:sz w:val="24"/>
          <w:szCs w:val="24"/>
          <w:rtl/>
        </w:rPr>
        <w:fldChar w:fldCharType="begin"/>
      </w:r>
      <w:r w:rsidRPr="00D575BC">
        <w:rPr>
          <w:sz w:val="24"/>
          <w:szCs w:val="24"/>
          <w:rtl/>
        </w:rPr>
        <w:instrText xml:space="preserve"> </w:instrText>
      </w:r>
      <w:r w:rsidRPr="00D575BC">
        <w:rPr>
          <w:sz w:val="24"/>
          <w:szCs w:val="24"/>
        </w:rPr>
        <w:instrText>ADDIN EN.CITE &lt;EndNote&gt;&lt;Cite&gt;&lt;Author&gt;Mohsenzadeh&lt;/Author&gt;&lt;Year&gt;2021&lt;/Year&gt;&lt;RecNum&gt;21&lt;/RecNum&gt;&lt;DisplayText&gt;(19)&lt;/DisplayText&gt;&lt;record&gt;&lt;rec-number&gt;21&lt;/rec-number&gt;&lt;foreign-keys&gt;&lt;key app="EN" db-id="tsp2zzadoxvaapevwpbvp0eq2parp20dee9r" timestamp="1763793065</w:instrText>
      </w:r>
      <w:r w:rsidRPr="00D575BC">
        <w:rPr>
          <w:sz w:val="24"/>
          <w:szCs w:val="24"/>
          <w:rtl/>
        </w:rPr>
        <w:instrText>"&gt;21&lt;/</w:instrText>
      </w:r>
      <w:r w:rsidRPr="00D575BC">
        <w:rPr>
          <w:sz w:val="24"/>
          <w:szCs w:val="24"/>
        </w:rPr>
        <w:instrText>key&gt;&lt;/foreign-keys&gt;&lt;ref-type name="Journal Article"&gt;17&lt;/ref-type&gt;&lt;contributors&gt;&lt;authors&gt;&lt;author&gt;Mohsenzadeh, Mahdieh Sadat&lt;/author&gt;&lt;author&gt;Razavi, Bibi Marjan&lt;/author&gt;&lt;author&gt;Imenshahidi, Mohsen&lt;/author&gt;&lt;author&gt;Yazdi, Seyed Abbas Tabatabaee&lt;/author</w:instrText>
      </w:r>
      <w:r w:rsidRPr="00D575BC">
        <w:rPr>
          <w:sz w:val="24"/>
          <w:szCs w:val="24"/>
          <w:rtl/>
        </w:rPr>
        <w:instrText>&gt;&lt;</w:instrText>
      </w:r>
      <w:r w:rsidRPr="00D575BC">
        <w:rPr>
          <w:sz w:val="24"/>
          <w:szCs w:val="24"/>
        </w:rPr>
        <w:instrText>author&gt;Mohajeri, Seyed Ahmad&lt;/author&gt;&lt;author&gt;Hosseinzadeh, Hossein&lt;/author&gt;&lt;/authors&gt;&lt;/contributors&gt;&lt;titles&gt;&lt;title&gt;Potential role of green tea extract and epigallocatechin gallate in preventing bisphenol A-induced metabolic disorders in rats: Biochemical</w:instrText>
      </w:r>
      <w:r w:rsidRPr="00D575BC">
        <w:rPr>
          <w:sz w:val="24"/>
          <w:szCs w:val="24"/>
          <w:rtl/>
        </w:rPr>
        <w:instrText xml:space="preserve"> </w:instrText>
      </w:r>
      <w:r w:rsidRPr="00D575BC">
        <w:rPr>
          <w:sz w:val="24"/>
          <w:szCs w:val="24"/>
        </w:rPr>
        <w:instrText>and molecular evidence&lt;/title&gt;&lt;secondary-title&gt;Phytomedicine&lt;/secondary-title&gt;&lt;/titles&gt;&lt;periodical&gt;&lt;full-title&gt;Phytomedicine&lt;/full-title&gt;&lt;/periodical&gt;&lt;pages&gt;153754&lt;/pages&gt;&lt;volume&gt;92&lt;/volume&gt;&lt;dates&gt;&lt;year&gt;2021&lt;/year&gt;&lt;/dates&gt;&lt;isbn&gt;0944-7113&lt;/isbn&gt;&lt;urls&gt;&lt;/urls&gt;&lt;/record&gt;&lt;/Cite&gt;&lt;/EndNote</w:instrText>
      </w:r>
      <w:r w:rsidRPr="00D575BC">
        <w:rPr>
          <w:sz w:val="24"/>
          <w:szCs w:val="24"/>
          <w:rtl/>
        </w:rPr>
        <w:instrText>&gt;</w:instrText>
      </w:r>
      <w:r w:rsidRPr="00D575BC">
        <w:rPr>
          <w:sz w:val="24"/>
          <w:szCs w:val="24"/>
          <w:rtl/>
        </w:rPr>
        <w:fldChar w:fldCharType="separate"/>
      </w:r>
      <w:r w:rsidRPr="00D575BC">
        <w:rPr>
          <w:noProof/>
          <w:sz w:val="24"/>
          <w:szCs w:val="24"/>
          <w:rtl/>
        </w:rPr>
        <w:t>(19)</w:t>
      </w:r>
      <w:r w:rsidRPr="00D575BC">
        <w:rPr>
          <w:sz w:val="24"/>
          <w:szCs w:val="24"/>
          <w:rtl/>
        </w:rPr>
        <w:fldChar w:fldCharType="end"/>
      </w:r>
      <w:r w:rsidRPr="00D575BC">
        <w:rPr>
          <w:sz w:val="24"/>
          <w:szCs w:val="24"/>
        </w:rPr>
        <w:t>.</w:t>
      </w:r>
      <w:r w:rsidRPr="00D575BC">
        <w:rPr>
          <w:rFonts w:hint="cs"/>
          <w:sz w:val="24"/>
          <w:szCs w:val="24"/>
          <w:rtl/>
        </w:rPr>
        <w:t xml:space="preserve"> </w:t>
      </w:r>
      <w:r w:rsidRPr="00D575BC">
        <w:rPr>
          <w:sz w:val="24"/>
          <w:szCs w:val="24"/>
          <w:rtl/>
        </w:rPr>
        <w:t>این شواهد به خوبی با یافته‌های مطالعه حاضر هم‌راستا بوده و نشان می‌دهد که</w:t>
      </w:r>
      <w:r w:rsidRPr="00D575BC">
        <w:rPr>
          <w:sz w:val="24"/>
          <w:szCs w:val="24"/>
        </w:rPr>
        <w:t xml:space="preserve"> EGCG </w:t>
      </w:r>
      <w:r w:rsidRPr="00D575BC">
        <w:rPr>
          <w:sz w:val="24"/>
          <w:szCs w:val="24"/>
          <w:rtl/>
        </w:rPr>
        <w:t xml:space="preserve">با هدف‌گیری مسیرهای مولکولی متعدد، نقش مهمی در تعدیل التهاب و استرس اکسیداتیو ایفا می‌کند. بنابراین، </w:t>
      </w:r>
      <w:r w:rsidRPr="00D575BC">
        <w:rPr>
          <w:sz w:val="24"/>
          <w:szCs w:val="24"/>
        </w:rPr>
        <w:t>EGCG</w:t>
      </w:r>
      <w:r w:rsidRPr="00D575BC">
        <w:rPr>
          <w:rFonts w:hint="cs"/>
          <w:sz w:val="24"/>
          <w:szCs w:val="24"/>
          <w:rtl/>
        </w:rPr>
        <w:t xml:space="preserve"> </w:t>
      </w:r>
      <w:r w:rsidRPr="00D575BC">
        <w:rPr>
          <w:sz w:val="24"/>
          <w:szCs w:val="24"/>
          <w:rtl/>
        </w:rPr>
        <w:t>می‌تواند به‌</w:t>
      </w:r>
      <w:r w:rsidRPr="00D575BC">
        <w:rPr>
          <w:rFonts w:hint="cs"/>
          <w:sz w:val="24"/>
          <w:szCs w:val="24"/>
          <w:rtl/>
        </w:rPr>
        <w:t xml:space="preserve"> </w:t>
      </w:r>
      <w:r w:rsidRPr="00D575BC">
        <w:rPr>
          <w:sz w:val="24"/>
          <w:szCs w:val="24"/>
          <w:rtl/>
        </w:rPr>
        <w:t>عنوان یک عامل درمانی مؤثر در بیماری‌های التهابی مزمن مرتبط با پیری مطرح شود و زمینه‌ای برای توسعه رویکردهای درمانی جدید در مدیریت اختلالات ایمنی و التهابی ناشی از سالمندی فراهم آورد</w:t>
      </w:r>
      <w:r w:rsidRPr="00D575BC">
        <w:rPr>
          <w:sz w:val="24"/>
          <w:szCs w:val="24"/>
        </w:rPr>
        <w:t>.</w:t>
      </w:r>
    </w:p>
    <w:p w14:paraId="7BDC6928" w14:textId="77777777" w:rsidR="00CF69B3" w:rsidRPr="00D575BC" w:rsidRDefault="00CF69B3" w:rsidP="00CF69B3">
      <w:pPr>
        <w:pStyle w:val="a0"/>
        <w:rPr>
          <w:sz w:val="24"/>
          <w:szCs w:val="24"/>
          <w:rtl/>
        </w:rPr>
      </w:pPr>
      <w:r w:rsidRPr="00D575BC">
        <w:rPr>
          <w:sz w:val="24"/>
          <w:szCs w:val="24"/>
          <w:rtl/>
        </w:rPr>
        <w:t xml:space="preserve">در نهایت، نتایج این پژوهش نشان می‌دهد که </w:t>
      </w:r>
      <w:r w:rsidRPr="00D575BC">
        <w:rPr>
          <w:sz w:val="24"/>
          <w:szCs w:val="24"/>
        </w:rPr>
        <w:t>EGCG</w:t>
      </w:r>
      <w:r w:rsidRPr="00D575BC">
        <w:rPr>
          <w:rFonts w:hint="cs"/>
          <w:sz w:val="24"/>
          <w:szCs w:val="24"/>
          <w:rtl/>
        </w:rPr>
        <w:t xml:space="preserve"> </w:t>
      </w:r>
      <w:r w:rsidRPr="00D575BC">
        <w:rPr>
          <w:sz w:val="24"/>
          <w:szCs w:val="24"/>
          <w:rtl/>
        </w:rPr>
        <w:t>می‌تواند به</w:t>
      </w:r>
      <w:r w:rsidRPr="00D575BC">
        <w:rPr>
          <w:rFonts w:hint="cs"/>
          <w:sz w:val="24"/>
          <w:szCs w:val="24"/>
          <w:rtl/>
        </w:rPr>
        <w:t xml:space="preserve"> </w:t>
      </w:r>
      <w:r w:rsidRPr="00D575BC">
        <w:rPr>
          <w:sz w:val="24"/>
          <w:szCs w:val="24"/>
          <w:rtl/>
        </w:rPr>
        <w:t xml:space="preserve">‌عنوان یک ترکیب طبیعی با خواص آنتی‌اکسیدانی و ضدالتهابی، در تعدیل پاسخ‌های ایمنی و کاهش التهاب مزمن ناشی از سالمندی نقش مؤثری ایفا کند. علاوه بر افزایش بیان </w:t>
      </w:r>
      <w:r w:rsidRPr="00D575BC">
        <w:rPr>
          <w:sz w:val="24"/>
          <w:szCs w:val="24"/>
        </w:rPr>
        <w:t>CXCL1</w:t>
      </w:r>
      <w:r w:rsidRPr="00D575BC">
        <w:rPr>
          <w:rFonts w:hint="cs"/>
          <w:sz w:val="24"/>
          <w:szCs w:val="24"/>
          <w:rtl/>
        </w:rPr>
        <w:t xml:space="preserve"> </w:t>
      </w:r>
      <w:r w:rsidRPr="00D575BC">
        <w:rPr>
          <w:sz w:val="24"/>
          <w:szCs w:val="24"/>
          <w:rtl/>
        </w:rPr>
        <w:t>پس از درمان با</w:t>
      </w:r>
      <w:r w:rsidRPr="00D575BC">
        <w:rPr>
          <w:sz w:val="24"/>
          <w:szCs w:val="24"/>
        </w:rPr>
        <w:t xml:space="preserve"> EGCG </w:t>
      </w:r>
      <w:r w:rsidRPr="00D575BC">
        <w:rPr>
          <w:sz w:val="24"/>
          <w:szCs w:val="24"/>
          <w:rtl/>
        </w:rPr>
        <w:t>که می‌تواند به‌</w:t>
      </w:r>
      <w:r w:rsidRPr="00D575BC">
        <w:rPr>
          <w:rFonts w:hint="cs"/>
          <w:sz w:val="24"/>
          <w:szCs w:val="24"/>
          <w:rtl/>
        </w:rPr>
        <w:t xml:space="preserve"> </w:t>
      </w:r>
      <w:r w:rsidRPr="00D575BC">
        <w:rPr>
          <w:sz w:val="24"/>
          <w:szCs w:val="24"/>
          <w:rtl/>
        </w:rPr>
        <w:t xml:space="preserve">عنوان یک بیومارکر مولکولی برای ارزیابی اثربخشی مداخلات ضدپیری در کبد مطرح شود، نتایج نشان داد که این ترکیب قادر است سطوح سیتوکین‌های التهابی کلیدی از جمله </w:t>
      </w:r>
      <w:r w:rsidRPr="00D575BC">
        <w:rPr>
          <w:sz w:val="24"/>
          <w:szCs w:val="24"/>
        </w:rPr>
        <w:t>TNF-α</w:t>
      </w:r>
      <w:r w:rsidRPr="00D575BC">
        <w:rPr>
          <w:sz w:val="24"/>
          <w:szCs w:val="24"/>
          <w:rtl/>
        </w:rPr>
        <w:t xml:space="preserve">، </w:t>
      </w:r>
      <w:r w:rsidRPr="00D575BC">
        <w:rPr>
          <w:sz w:val="24"/>
          <w:szCs w:val="24"/>
        </w:rPr>
        <w:t>IL-6</w:t>
      </w:r>
      <w:r w:rsidRPr="00D575BC">
        <w:rPr>
          <w:rFonts w:hint="cs"/>
          <w:sz w:val="24"/>
          <w:szCs w:val="24"/>
          <w:rtl/>
        </w:rPr>
        <w:t xml:space="preserve"> </w:t>
      </w:r>
      <w:r w:rsidRPr="00D575BC">
        <w:rPr>
          <w:sz w:val="24"/>
          <w:szCs w:val="24"/>
          <w:rtl/>
        </w:rPr>
        <w:t>و</w:t>
      </w:r>
      <w:r w:rsidRPr="00D575BC">
        <w:rPr>
          <w:sz w:val="24"/>
          <w:szCs w:val="24"/>
        </w:rPr>
        <w:t xml:space="preserve"> MCP-1 </w:t>
      </w:r>
      <w:r w:rsidRPr="00D575BC">
        <w:rPr>
          <w:sz w:val="24"/>
          <w:szCs w:val="24"/>
          <w:rtl/>
        </w:rPr>
        <w:t>را به طور چشمگیری کاهش دهد. این تغییرات بیانگر اثر مستقیم</w:t>
      </w:r>
      <w:r w:rsidRPr="00D575BC">
        <w:rPr>
          <w:sz w:val="24"/>
          <w:szCs w:val="24"/>
        </w:rPr>
        <w:t xml:space="preserve"> EGCG </w:t>
      </w:r>
      <w:r w:rsidRPr="00D575BC">
        <w:rPr>
          <w:sz w:val="24"/>
          <w:szCs w:val="24"/>
          <w:rtl/>
        </w:rPr>
        <w:t>در مهار مسیرهای التهابی و بازگرداندن پاسخ‌های ایمنی مختل</w:t>
      </w:r>
      <w:r w:rsidRPr="00D575BC">
        <w:rPr>
          <w:rFonts w:hint="cs"/>
          <w:sz w:val="24"/>
          <w:szCs w:val="24"/>
          <w:rtl/>
        </w:rPr>
        <w:t xml:space="preserve"> </w:t>
      </w:r>
      <w:r w:rsidRPr="00D575BC">
        <w:rPr>
          <w:sz w:val="24"/>
          <w:szCs w:val="24"/>
          <w:rtl/>
        </w:rPr>
        <w:t>‌شده در سالمندی به محدوده طبیعی است</w:t>
      </w:r>
      <w:r w:rsidRPr="00D575BC">
        <w:rPr>
          <w:sz w:val="24"/>
          <w:szCs w:val="24"/>
        </w:rPr>
        <w:t>.</w:t>
      </w:r>
      <w:r w:rsidRPr="00D575BC">
        <w:rPr>
          <w:rFonts w:hint="cs"/>
          <w:sz w:val="24"/>
          <w:szCs w:val="24"/>
          <w:rtl/>
        </w:rPr>
        <w:t xml:space="preserve"> </w:t>
      </w:r>
      <w:r w:rsidRPr="00D575BC">
        <w:rPr>
          <w:sz w:val="24"/>
          <w:szCs w:val="24"/>
          <w:rtl/>
        </w:rPr>
        <w:t>این یافته‌ها چشم‌اندازهای جدیدی برای استفاده از</w:t>
      </w:r>
      <w:r w:rsidRPr="00D575BC">
        <w:rPr>
          <w:sz w:val="24"/>
          <w:szCs w:val="24"/>
        </w:rPr>
        <w:t xml:space="preserve"> EGCG </w:t>
      </w:r>
      <w:r w:rsidRPr="00D575BC">
        <w:rPr>
          <w:sz w:val="24"/>
          <w:szCs w:val="24"/>
          <w:rtl/>
        </w:rPr>
        <w:t>در بهبود کیفیت زندگی سالمندان و کاهش بار بیماری‌های مرتبط با سن فراهم می‌سازد و نشان می‌دهد که</w:t>
      </w:r>
      <w:r w:rsidRPr="00D575BC">
        <w:rPr>
          <w:sz w:val="24"/>
          <w:szCs w:val="24"/>
        </w:rPr>
        <w:t xml:space="preserve"> EGCG </w:t>
      </w:r>
      <w:r w:rsidRPr="00D575BC">
        <w:rPr>
          <w:sz w:val="24"/>
          <w:szCs w:val="24"/>
          <w:rtl/>
        </w:rPr>
        <w:t>با هدف‌گیری همزمان بیومارکرهای التهابی</w:t>
      </w:r>
      <w:r w:rsidRPr="00D575BC">
        <w:rPr>
          <w:sz w:val="24"/>
          <w:szCs w:val="24"/>
        </w:rPr>
        <w:t xml:space="preserve"> </w:t>
      </w:r>
      <w:r w:rsidRPr="00D575BC">
        <w:rPr>
          <w:rFonts w:hint="cs"/>
          <w:sz w:val="24"/>
          <w:szCs w:val="24"/>
          <w:rtl/>
        </w:rPr>
        <w:t>(</w:t>
      </w:r>
      <w:r w:rsidRPr="00D575BC">
        <w:rPr>
          <w:sz w:val="24"/>
          <w:szCs w:val="24"/>
        </w:rPr>
        <w:t>TNF-α</w:t>
      </w:r>
      <w:r w:rsidRPr="00D575BC">
        <w:rPr>
          <w:sz w:val="24"/>
          <w:szCs w:val="24"/>
          <w:rtl/>
        </w:rPr>
        <w:t xml:space="preserve">، </w:t>
      </w:r>
      <w:r w:rsidRPr="00D575BC">
        <w:rPr>
          <w:sz w:val="24"/>
          <w:szCs w:val="24"/>
        </w:rPr>
        <w:t>IL-6</w:t>
      </w:r>
      <w:r w:rsidRPr="00D575BC">
        <w:rPr>
          <w:sz w:val="24"/>
          <w:szCs w:val="24"/>
          <w:rtl/>
        </w:rPr>
        <w:t xml:space="preserve">، </w:t>
      </w:r>
      <w:r w:rsidRPr="00D575BC">
        <w:rPr>
          <w:sz w:val="24"/>
          <w:szCs w:val="24"/>
        </w:rPr>
        <w:t>MCP-1</w:t>
      </w:r>
      <w:r w:rsidRPr="00D575BC">
        <w:rPr>
          <w:rFonts w:hint="cs"/>
          <w:sz w:val="24"/>
          <w:szCs w:val="24"/>
          <w:rtl/>
        </w:rPr>
        <w:t>)</w:t>
      </w:r>
      <w:r w:rsidRPr="00D575BC">
        <w:rPr>
          <w:sz w:val="24"/>
          <w:szCs w:val="24"/>
        </w:rPr>
        <w:t xml:space="preserve"> </w:t>
      </w:r>
      <w:r w:rsidRPr="00D575BC">
        <w:rPr>
          <w:sz w:val="24"/>
          <w:szCs w:val="24"/>
          <w:rtl/>
        </w:rPr>
        <w:t>و کموکاین‌های تنظیمی مانند</w:t>
      </w:r>
      <w:r w:rsidRPr="00D575BC">
        <w:rPr>
          <w:rFonts w:hint="cs"/>
          <w:sz w:val="24"/>
          <w:szCs w:val="24"/>
          <w:rtl/>
        </w:rPr>
        <w:t xml:space="preserve"> </w:t>
      </w:r>
      <w:r w:rsidRPr="00D575BC">
        <w:rPr>
          <w:sz w:val="24"/>
          <w:szCs w:val="24"/>
        </w:rPr>
        <w:t>CXCL1</w:t>
      </w:r>
      <w:r w:rsidRPr="00D575BC">
        <w:rPr>
          <w:sz w:val="24"/>
          <w:szCs w:val="24"/>
          <w:rtl/>
        </w:rPr>
        <w:t>، می‌تواند به</w:t>
      </w:r>
      <w:r w:rsidRPr="00D575BC">
        <w:rPr>
          <w:rFonts w:hint="cs"/>
          <w:sz w:val="24"/>
          <w:szCs w:val="24"/>
          <w:rtl/>
        </w:rPr>
        <w:t xml:space="preserve"> </w:t>
      </w:r>
      <w:r w:rsidRPr="00D575BC">
        <w:rPr>
          <w:sz w:val="24"/>
          <w:szCs w:val="24"/>
          <w:rtl/>
        </w:rPr>
        <w:t>‌عنوان یک عامل درمانی چندوجهی در مدیریت بیماری‌های التهابی مزمن و اختلالات مرتبط با پیری مورد توجه قرار گیرد</w:t>
      </w:r>
      <w:r w:rsidRPr="00D575BC">
        <w:rPr>
          <w:sz w:val="24"/>
          <w:szCs w:val="24"/>
        </w:rPr>
        <w:t>.</w:t>
      </w:r>
    </w:p>
    <w:p w14:paraId="51BB2A07" w14:textId="77777777" w:rsidR="00CF69B3" w:rsidRPr="00D575BC" w:rsidRDefault="00CF69B3" w:rsidP="00CF69B3">
      <w:pPr>
        <w:pStyle w:val="a0"/>
        <w:rPr>
          <w:sz w:val="24"/>
          <w:szCs w:val="24"/>
          <w:rtl/>
        </w:rPr>
      </w:pPr>
      <w:r w:rsidRPr="00D575BC">
        <w:rPr>
          <w:sz w:val="24"/>
          <w:szCs w:val="24"/>
          <w:rtl/>
        </w:rPr>
        <w:t>با وجود نتایج ارزشمند این پژوهش، چند محدودیت قابل توجه وجود دارد که باید در تفسیر یافته‌ها مدنظر قرار گیرد. نخست آن‌که استفاده از مدل القاشده سالمندی با دی‌گالاکتوز ممکن است تمامی جنبه‌های پیچیده فرآیند سالمندی طبیعی را بازتاب ندهد و بنابراین قابلیت تعمیم نتایج به انسان با احتیاط صورت گیرد. دوم، تعداد نمونه‌ها محدود بوده و این امر می‌تواند قدرت آماری مطالعه را کاهش دهد. سوم، تمرکز پژوهش صرفاً بر بافت کبد بوده و سایر ارگان‌های مهم در فرآیند سالمندی و التهاب مورد بررسی قرار نگرفته‌اند. علاوه بر این، تنها یک دوز</w:t>
      </w:r>
      <w:r w:rsidRPr="00D575BC">
        <w:rPr>
          <w:sz w:val="24"/>
          <w:szCs w:val="24"/>
        </w:rPr>
        <w:t xml:space="preserve"> EGCG </w:t>
      </w:r>
      <w:r w:rsidRPr="00D575BC">
        <w:rPr>
          <w:sz w:val="24"/>
          <w:szCs w:val="24"/>
          <w:rtl/>
        </w:rPr>
        <w:t xml:space="preserve">مورد استفاده قرار گرفت و امکان تعیین دوز بهینه یا بررسی اثرات </w:t>
      </w:r>
      <w:r w:rsidRPr="00D575BC">
        <w:rPr>
          <w:sz w:val="24"/>
          <w:szCs w:val="24"/>
          <w:rtl/>
        </w:rPr>
        <w:lastRenderedPageBreak/>
        <w:t>وابسته به دوز فراهم نشد. در نهایت، نتایج حاصل از مدل حیوانی ممکن است به‌طور مستقیم قابل تعمیم به جمعیت انسانی نباشد و نیازمند انجام مطالعات بالینی گسترده‌تر است</w:t>
      </w:r>
      <w:r w:rsidRPr="00D575BC">
        <w:rPr>
          <w:sz w:val="24"/>
          <w:szCs w:val="24"/>
        </w:rPr>
        <w:t>.</w:t>
      </w:r>
      <w:bookmarkStart w:id="21" w:name="_Toc202482594"/>
    </w:p>
    <w:p w14:paraId="14482A2F" w14:textId="77777777" w:rsidR="00CF69B3" w:rsidRPr="00D575BC" w:rsidRDefault="00CF69B3" w:rsidP="00CF69B3">
      <w:pPr>
        <w:pStyle w:val="1"/>
        <w:rPr>
          <w:sz w:val="24"/>
          <w:szCs w:val="24"/>
          <w:rtl/>
        </w:rPr>
      </w:pPr>
      <w:r w:rsidRPr="00D575BC">
        <w:rPr>
          <w:rFonts w:hint="cs"/>
          <w:sz w:val="24"/>
          <w:szCs w:val="24"/>
          <w:rtl/>
        </w:rPr>
        <w:t>نتیجه</w:t>
      </w:r>
      <w:r w:rsidRPr="00D575BC">
        <w:rPr>
          <w:rFonts w:hint="cs"/>
          <w:sz w:val="24"/>
          <w:szCs w:val="24"/>
          <w:rtl/>
          <w:cs/>
        </w:rPr>
        <w:t>‎</w:t>
      </w:r>
      <w:r w:rsidRPr="00D575BC">
        <w:rPr>
          <w:rFonts w:hint="cs"/>
          <w:sz w:val="24"/>
          <w:szCs w:val="24"/>
          <w:rtl/>
        </w:rPr>
        <w:t>گیری</w:t>
      </w:r>
      <w:bookmarkEnd w:id="21"/>
    </w:p>
    <w:p w14:paraId="2F87062C" w14:textId="77777777" w:rsidR="00CF69B3" w:rsidRPr="00D575BC" w:rsidRDefault="00CF69B3" w:rsidP="00CF69B3">
      <w:pPr>
        <w:pStyle w:val="a0"/>
        <w:rPr>
          <w:sz w:val="24"/>
          <w:szCs w:val="24"/>
        </w:rPr>
      </w:pPr>
      <w:r w:rsidRPr="00D575BC">
        <w:rPr>
          <w:sz w:val="24"/>
          <w:szCs w:val="24"/>
          <w:rtl/>
        </w:rPr>
        <w:t xml:space="preserve">این پژوهش نشان داد که در سالمندی، کاهش بیان </w:t>
      </w:r>
      <w:r w:rsidRPr="00D575BC">
        <w:rPr>
          <w:sz w:val="24"/>
          <w:szCs w:val="24"/>
        </w:rPr>
        <w:t>CXCL1</w:t>
      </w:r>
      <w:r w:rsidRPr="00D575BC">
        <w:rPr>
          <w:rFonts w:hint="cs"/>
          <w:sz w:val="24"/>
          <w:szCs w:val="24"/>
          <w:rtl/>
        </w:rPr>
        <w:t xml:space="preserve"> </w:t>
      </w:r>
      <w:r w:rsidRPr="00D575BC">
        <w:rPr>
          <w:sz w:val="24"/>
          <w:szCs w:val="24"/>
          <w:rtl/>
        </w:rPr>
        <w:t xml:space="preserve">همراه با افزایش سیتوکین‌های التهابی </w:t>
      </w:r>
      <w:r w:rsidRPr="00D575BC">
        <w:rPr>
          <w:sz w:val="24"/>
          <w:szCs w:val="24"/>
        </w:rPr>
        <w:t>TNF-α</w:t>
      </w:r>
      <w:r w:rsidRPr="00D575BC">
        <w:rPr>
          <w:sz w:val="24"/>
          <w:szCs w:val="24"/>
          <w:rtl/>
        </w:rPr>
        <w:t xml:space="preserve">، </w:t>
      </w:r>
      <w:r w:rsidRPr="00D575BC">
        <w:rPr>
          <w:sz w:val="24"/>
          <w:szCs w:val="24"/>
        </w:rPr>
        <w:t>IL-6</w:t>
      </w:r>
      <w:r w:rsidRPr="00D575BC">
        <w:rPr>
          <w:rFonts w:hint="cs"/>
          <w:sz w:val="24"/>
          <w:szCs w:val="24"/>
          <w:rtl/>
        </w:rPr>
        <w:t xml:space="preserve"> </w:t>
      </w:r>
      <w:r w:rsidRPr="00D575BC">
        <w:rPr>
          <w:sz w:val="24"/>
          <w:szCs w:val="24"/>
          <w:rtl/>
        </w:rPr>
        <w:t>و</w:t>
      </w:r>
      <w:r w:rsidRPr="00D575BC">
        <w:rPr>
          <w:sz w:val="24"/>
          <w:szCs w:val="24"/>
        </w:rPr>
        <w:t xml:space="preserve"> MCP-1 </w:t>
      </w:r>
      <w:r w:rsidRPr="00D575BC">
        <w:rPr>
          <w:sz w:val="24"/>
          <w:szCs w:val="24"/>
          <w:rtl/>
        </w:rPr>
        <w:t xml:space="preserve">رخ می‌دهد که بیانگر اختلال ایمنی و التهاب مزمن است. تجویز </w:t>
      </w:r>
      <w:r w:rsidRPr="00D575BC">
        <w:rPr>
          <w:sz w:val="24"/>
          <w:szCs w:val="24"/>
        </w:rPr>
        <w:t>EGCG</w:t>
      </w:r>
      <w:r w:rsidRPr="00D575BC">
        <w:rPr>
          <w:rFonts w:hint="cs"/>
          <w:sz w:val="24"/>
          <w:szCs w:val="24"/>
          <w:rtl/>
        </w:rPr>
        <w:t xml:space="preserve"> </w:t>
      </w:r>
      <w:r w:rsidRPr="00D575BC">
        <w:rPr>
          <w:sz w:val="24"/>
          <w:szCs w:val="24"/>
          <w:rtl/>
        </w:rPr>
        <w:t>توانست این تغییرات را تعدیل کند؛ به‌گونه‌ای که در شرایط سالم موجب افزایش</w:t>
      </w:r>
      <w:r w:rsidRPr="00D575BC">
        <w:rPr>
          <w:sz w:val="24"/>
          <w:szCs w:val="24"/>
        </w:rPr>
        <w:t xml:space="preserve"> CXCL1 </w:t>
      </w:r>
      <w:r w:rsidRPr="00D575BC">
        <w:rPr>
          <w:sz w:val="24"/>
          <w:szCs w:val="24"/>
          <w:rtl/>
        </w:rPr>
        <w:t xml:space="preserve">و کاهش سیتوکین‌ها شد و در سالمندی سطح آن‌ها را به محدوده طبیعی بازگرداند. بنابراین، </w:t>
      </w:r>
      <w:r w:rsidRPr="00D575BC">
        <w:rPr>
          <w:sz w:val="24"/>
          <w:szCs w:val="24"/>
        </w:rPr>
        <w:t>EGCG</w:t>
      </w:r>
      <w:r w:rsidRPr="00D575BC">
        <w:rPr>
          <w:rFonts w:hint="cs"/>
          <w:sz w:val="24"/>
          <w:szCs w:val="24"/>
          <w:rtl/>
        </w:rPr>
        <w:t xml:space="preserve"> </w:t>
      </w:r>
      <w:r w:rsidRPr="00D575BC">
        <w:rPr>
          <w:sz w:val="24"/>
          <w:szCs w:val="24"/>
          <w:rtl/>
        </w:rPr>
        <w:t>به</w:t>
      </w:r>
      <w:r w:rsidRPr="00D575BC">
        <w:rPr>
          <w:rFonts w:hint="cs"/>
          <w:sz w:val="24"/>
          <w:szCs w:val="24"/>
          <w:rtl/>
        </w:rPr>
        <w:t xml:space="preserve"> </w:t>
      </w:r>
      <w:r w:rsidRPr="00D575BC">
        <w:rPr>
          <w:sz w:val="24"/>
          <w:szCs w:val="24"/>
          <w:rtl/>
        </w:rPr>
        <w:t>‌عنوان یک ترکیب طبیعی با خواص آنتی‌اکسیدانی و ضدالتهابی، قابلیت بازآرایی پاسخ‌های ایمنی و کاهش التهاب مرتبط با پیری را دارد و می‌تواند چشم‌انداز جدیدی برای پیشگیری و درمان بیماری‌های وابسته به سن فراهم سازد</w:t>
      </w:r>
      <w:r w:rsidRPr="00D575BC">
        <w:rPr>
          <w:sz w:val="24"/>
          <w:szCs w:val="24"/>
        </w:rPr>
        <w:t>.</w:t>
      </w:r>
    </w:p>
    <w:p w14:paraId="6A048931" w14:textId="77777777" w:rsidR="00CF69B3" w:rsidRPr="00D575BC" w:rsidRDefault="00CF69B3" w:rsidP="00CF69B3">
      <w:pPr>
        <w:pStyle w:val="a0"/>
        <w:rPr>
          <w:sz w:val="24"/>
          <w:szCs w:val="24"/>
        </w:rPr>
      </w:pPr>
      <w:r w:rsidRPr="00D575BC">
        <w:rPr>
          <w:rFonts w:hint="cs"/>
          <w:bCs/>
          <w:sz w:val="24"/>
          <w:szCs w:val="24"/>
          <w:rtl/>
        </w:rPr>
        <w:t>سپاس‌گزاری</w:t>
      </w:r>
    </w:p>
    <w:p w14:paraId="4B101A61" w14:textId="77777777" w:rsidR="00CF69B3" w:rsidRPr="00D575BC" w:rsidRDefault="00CF69B3" w:rsidP="00CF69B3">
      <w:pPr>
        <w:bidi/>
        <w:spacing w:line="400" w:lineRule="exact"/>
        <w:ind w:firstLine="227"/>
        <w:rPr>
          <w:rFonts w:ascii="Times New Roman" w:hAnsi="Times New Roman" w:cs="B Lotus"/>
          <w:color w:val="000000"/>
          <w:spacing w:val="-4"/>
          <w:sz w:val="24"/>
          <w:szCs w:val="24"/>
          <w:rtl/>
          <w:lang w:bidi="fa-IR"/>
        </w:rPr>
      </w:pPr>
      <w:r w:rsidRPr="00D575BC">
        <w:rPr>
          <w:rFonts w:ascii="Times New Roman" w:hAnsi="Times New Roman" w:cs="B Lotus"/>
          <w:color w:val="000000"/>
          <w:spacing w:val="-4"/>
          <w:sz w:val="24"/>
          <w:szCs w:val="24"/>
          <w:rtl/>
          <w:lang w:bidi="fa-IR"/>
        </w:rPr>
        <w:t>از کل</w:t>
      </w:r>
      <w:r w:rsidRPr="00D575BC">
        <w:rPr>
          <w:rFonts w:ascii="Times New Roman" w:hAnsi="Times New Roman" w:cs="B Lotus" w:hint="cs"/>
          <w:color w:val="000000"/>
          <w:spacing w:val="-4"/>
          <w:sz w:val="24"/>
          <w:szCs w:val="24"/>
          <w:rtl/>
          <w:lang w:bidi="fa-IR"/>
        </w:rPr>
        <w:t>ی</w:t>
      </w:r>
      <w:r w:rsidRPr="00D575BC">
        <w:rPr>
          <w:rFonts w:ascii="Times New Roman" w:hAnsi="Times New Roman" w:cs="B Lotus" w:hint="eastAsia"/>
          <w:color w:val="000000"/>
          <w:spacing w:val="-4"/>
          <w:sz w:val="24"/>
          <w:szCs w:val="24"/>
          <w:rtl/>
          <w:lang w:bidi="fa-IR"/>
        </w:rPr>
        <w:t>ه‌</w:t>
      </w:r>
      <w:r w:rsidRPr="00D575BC">
        <w:rPr>
          <w:rFonts w:ascii="Times New Roman" w:hAnsi="Times New Roman" w:cs="B Lotus" w:hint="cs"/>
          <w:color w:val="000000"/>
          <w:spacing w:val="-4"/>
          <w:sz w:val="24"/>
          <w:szCs w:val="24"/>
          <w:rtl/>
          <w:lang w:bidi="fa-IR"/>
        </w:rPr>
        <w:t>کارشناسان خانه</w:t>
      </w:r>
      <w:r w:rsidRPr="00D575BC">
        <w:rPr>
          <w:rFonts w:ascii="Times New Roman" w:hAnsi="Times New Roman" w:cs="B Lotus"/>
          <w:color w:val="000000"/>
          <w:spacing w:val="-4"/>
          <w:sz w:val="24"/>
          <w:szCs w:val="24"/>
          <w:rtl/>
          <w:lang w:bidi="fa-IR"/>
        </w:rPr>
        <w:softHyphen/>
      </w:r>
      <w:r w:rsidRPr="00D575BC">
        <w:rPr>
          <w:rFonts w:ascii="Times New Roman" w:hAnsi="Times New Roman" w:cs="B Lotus" w:hint="cs"/>
          <w:color w:val="000000"/>
          <w:spacing w:val="-4"/>
          <w:sz w:val="24"/>
          <w:szCs w:val="24"/>
          <w:rtl/>
          <w:lang w:bidi="fa-IR"/>
        </w:rPr>
        <w:t xml:space="preserve">حیوانات دانشگاه آزاد </w:t>
      </w:r>
      <w:r w:rsidRPr="00D575BC">
        <w:rPr>
          <w:rFonts w:cs="B Lotus"/>
          <w:sz w:val="24"/>
          <w:szCs w:val="24"/>
          <w:rtl/>
        </w:rPr>
        <w:t xml:space="preserve">واحد شوشتر </w:t>
      </w:r>
      <w:r w:rsidRPr="00D575BC">
        <w:rPr>
          <w:rFonts w:ascii="Times New Roman" w:hAnsi="Times New Roman" w:cs="B Lotus" w:hint="cs"/>
          <w:color w:val="000000"/>
          <w:spacing w:val="-4"/>
          <w:sz w:val="24"/>
          <w:szCs w:val="24"/>
          <w:rtl/>
          <w:lang w:bidi="fa-IR"/>
        </w:rPr>
        <w:t xml:space="preserve">که در کار تکنیکی </w:t>
      </w:r>
      <w:r w:rsidRPr="00D575BC">
        <w:rPr>
          <w:rFonts w:ascii="Times New Roman" w:hAnsi="Times New Roman" w:cs="B Lotus"/>
          <w:color w:val="000000"/>
          <w:spacing w:val="-4"/>
          <w:sz w:val="24"/>
          <w:szCs w:val="24"/>
          <w:rtl/>
          <w:lang w:bidi="fa-IR"/>
        </w:rPr>
        <w:t>همکار</w:t>
      </w:r>
      <w:r w:rsidRPr="00D575BC">
        <w:rPr>
          <w:rFonts w:ascii="Times New Roman" w:hAnsi="Times New Roman" w:cs="B Lotus" w:hint="cs"/>
          <w:color w:val="000000"/>
          <w:spacing w:val="-4"/>
          <w:sz w:val="24"/>
          <w:szCs w:val="24"/>
          <w:rtl/>
          <w:lang w:bidi="fa-IR"/>
        </w:rPr>
        <w:t>ی</w:t>
      </w:r>
      <w:r w:rsidRPr="00D575BC">
        <w:rPr>
          <w:rFonts w:ascii="Times New Roman" w:hAnsi="Times New Roman" w:cs="B Lotus"/>
          <w:color w:val="000000"/>
          <w:spacing w:val="-4"/>
          <w:sz w:val="24"/>
          <w:szCs w:val="24"/>
          <w:rtl/>
          <w:lang w:bidi="fa-IR"/>
        </w:rPr>
        <w:t xml:space="preserve"> نموده‌اند، تشکر به عمل ‌آ</w:t>
      </w:r>
      <w:r w:rsidRPr="00D575BC">
        <w:rPr>
          <w:rFonts w:ascii="Times New Roman" w:hAnsi="Times New Roman" w:cs="B Lotus" w:hint="cs"/>
          <w:color w:val="000000"/>
          <w:spacing w:val="-4"/>
          <w:sz w:val="24"/>
          <w:szCs w:val="24"/>
          <w:rtl/>
          <w:lang w:bidi="fa-IR"/>
        </w:rPr>
        <w:t>ی</w:t>
      </w:r>
      <w:r w:rsidRPr="00D575BC">
        <w:rPr>
          <w:rFonts w:ascii="Times New Roman" w:hAnsi="Times New Roman" w:cs="B Lotus" w:hint="eastAsia"/>
          <w:color w:val="000000"/>
          <w:spacing w:val="-4"/>
          <w:sz w:val="24"/>
          <w:szCs w:val="24"/>
          <w:rtl/>
          <w:lang w:bidi="fa-IR"/>
        </w:rPr>
        <w:t>د</w:t>
      </w:r>
      <w:r w:rsidRPr="00D575BC">
        <w:rPr>
          <w:rFonts w:ascii="Times New Roman" w:hAnsi="Times New Roman" w:cs="B Lotus"/>
          <w:color w:val="000000"/>
          <w:spacing w:val="-4"/>
          <w:sz w:val="24"/>
          <w:szCs w:val="24"/>
          <w:rtl/>
          <w:lang w:bidi="fa-IR"/>
        </w:rPr>
        <w:t xml:space="preserve"> و مقاله ن</w:t>
      </w:r>
      <w:r w:rsidRPr="00D575BC">
        <w:rPr>
          <w:rFonts w:ascii="Times New Roman" w:hAnsi="Times New Roman" w:cs="B Lotus" w:hint="cs"/>
          <w:color w:val="000000"/>
          <w:spacing w:val="-4"/>
          <w:sz w:val="24"/>
          <w:szCs w:val="24"/>
          <w:rtl/>
          <w:lang w:bidi="fa-IR"/>
        </w:rPr>
        <w:t>ی</w:t>
      </w:r>
      <w:r w:rsidRPr="00D575BC">
        <w:rPr>
          <w:rFonts w:ascii="Times New Roman" w:hAnsi="Times New Roman" w:cs="B Lotus" w:hint="eastAsia"/>
          <w:color w:val="000000"/>
          <w:spacing w:val="-4"/>
          <w:sz w:val="24"/>
          <w:szCs w:val="24"/>
          <w:rtl/>
          <w:lang w:bidi="fa-IR"/>
        </w:rPr>
        <w:t>ز</w:t>
      </w:r>
      <w:r w:rsidRPr="00D575BC">
        <w:rPr>
          <w:rFonts w:ascii="Times New Roman" w:hAnsi="Times New Roman" w:cs="B Lotus"/>
          <w:color w:val="000000"/>
          <w:spacing w:val="-4"/>
          <w:sz w:val="24"/>
          <w:szCs w:val="24"/>
          <w:rtl/>
          <w:lang w:bidi="fa-IR"/>
        </w:rPr>
        <w:t xml:space="preserve"> بر گرفته از پا</w:t>
      </w:r>
      <w:r w:rsidRPr="00D575BC">
        <w:rPr>
          <w:rFonts w:ascii="Times New Roman" w:hAnsi="Times New Roman" w:cs="B Lotus" w:hint="cs"/>
          <w:color w:val="000000"/>
          <w:spacing w:val="-4"/>
          <w:sz w:val="24"/>
          <w:szCs w:val="24"/>
          <w:rtl/>
          <w:lang w:bidi="fa-IR"/>
        </w:rPr>
        <w:t>ی</w:t>
      </w:r>
      <w:r w:rsidRPr="00D575BC">
        <w:rPr>
          <w:rFonts w:ascii="Times New Roman" w:hAnsi="Times New Roman" w:cs="B Lotus" w:hint="eastAsia"/>
          <w:color w:val="000000"/>
          <w:spacing w:val="-4"/>
          <w:sz w:val="24"/>
          <w:szCs w:val="24"/>
          <w:rtl/>
          <w:lang w:bidi="fa-IR"/>
        </w:rPr>
        <w:t>ان</w:t>
      </w:r>
      <w:r w:rsidRPr="00D575BC">
        <w:rPr>
          <w:rFonts w:ascii="Times New Roman" w:hAnsi="Times New Roman" w:cs="B Lotus" w:hint="cs"/>
          <w:color w:val="000000"/>
          <w:spacing w:val="-4"/>
          <w:sz w:val="24"/>
          <w:szCs w:val="24"/>
          <w:rtl/>
          <w:lang w:bidi="fa-IR"/>
        </w:rPr>
        <w:t>‌</w:t>
      </w:r>
      <w:r w:rsidRPr="00D575BC">
        <w:rPr>
          <w:rFonts w:ascii="Times New Roman" w:hAnsi="Times New Roman" w:cs="B Lotus"/>
          <w:color w:val="000000"/>
          <w:spacing w:val="-4"/>
          <w:sz w:val="24"/>
          <w:szCs w:val="24"/>
          <w:rtl/>
          <w:lang w:bidi="fa-IR"/>
        </w:rPr>
        <w:t xml:space="preserve">نامه </w:t>
      </w:r>
      <w:r w:rsidRPr="00D575BC">
        <w:rPr>
          <w:rFonts w:ascii="Times New Roman" w:hAnsi="Times New Roman" w:cs="B Lotus" w:hint="cs"/>
          <w:color w:val="000000"/>
          <w:spacing w:val="-4"/>
          <w:sz w:val="24"/>
          <w:szCs w:val="24"/>
          <w:rtl/>
          <w:lang w:bidi="fa-IR"/>
        </w:rPr>
        <w:t xml:space="preserve">دکتری عمومی‌ دامپزشکی </w:t>
      </w:r>
      <w:r w:rsidRPr="00D575BC">
        <w:rPr>
          <w:rFonts w:ascii="Times New Roman" w:hAnsi="Times New Roman" w:cs="B Lotus"/>
          <w:color w:val="000000"/>
          <w:spacing w:val="-4"/>
          <w:sz w:val="24"/>
          <w:szCs w:val="24"/>
          <w:rtl/>
          <w:lang w:bidi="fa-IR"/>
        </w:rPr>
        <w:t>است</w:t>
      </w:r>
      <w:r w:rsidRPr="00D575BC">
        <w:rPr>
          <w:rFonts w:ascii="Times New Roman" w:hAnsi="Times New Roman" w:cs="B Lotus" w:hint="cs"/>
          <w:color w:val="000000"/>
          <w:spacing w:val="-4"/>
          <w:sz w:val="24"/>
          <w:szCs w:val="24"/>
          <w:rtl/>
          <w:lang w:bidi="fa-IR"/>
        </w:rPr>
        <w:t>.</w:t>
      </w:r>
    </w:p>
    <w:p w14:paraId="43D0E590" w14:textId="77777777" w:rsidR="00CF69B3" w:rsidRPr="00D575BC" w:rsidRDefault="00CF69B3" w:rsidP="00CF69B3">
      <w:pPr>
        <w:bidi/>
        <w:spacing w:line="400" w:lineRule="exact"/>
        <w:ind w:firstLine="227"/>
        <w:rPr>
          <w:rFonts w:ascii="Times New Roman" w:hAnsi="Times New Roman" w:cs="B Lotus"/>
          <w:color w:val="000000"/>
          <w:sz w:val="24"/>
          <w:szCs w:val="24"/>
          <w:rtl/>
          <w:lang w:bidi="fa-IR"/>
        </w:rPr>
      </w:pPr>
      <w:r w:rsidRPr="00D575BC">
        <w:rPr>
          <w:rFonts w:ascii="Times New Roman" w:hAnsi="Times New Roman" w:cs="B Lotus" w:hint="cs"/>
          <w:bCs/>
          <w:sz w:val="24"/>
          <w:szCs w:val="24"/>
          <w:rtl/>
          <w:lang w:bidi="fa-IR"/>
        </w:rPr>
        <w:t>حامی‌مالی:</w:t>
      </w:r>
      <w:r w:rsidRPr="00D575BC">
        <w:rPr>
          <w:rFonts w:ascii="Times New Roman" w:hAnsi="Times New Roman" w:cs="B Lotus" w:hint="cs"/>
          <w:sz w:val="24"/>
          <w:szCs w:val="24"/>
          <w:rtl/>
          <w:lang w:bidi="fa-IR"/>
        </w:rPr>
        <w:t xml:space="preserve"> ندارد.</w:t>
      </w:r>
    </w:p>
    <w:p w14:paraId="4003957C" w14:textId="77777777" w:rsidR="00CF69B3" w:rsidRPr="00D575BC" w:rsidRDefault="00CF69B3" w:rsidP="00CF69B3">
      <w:pPr>
        <w:bidi/>
        <w:spacing w:line="400" w:lineRule="exact"/>
        <w:ind w:firstLine="227"/>
        <w:rPr>
          <w:rFonts w:ascii="Times New Roman" w:hAnsi="Times New Roman" w:cs="B Lotus"/>
          <w:color w:val="000000"/>
          <w:sz w:val="24"/>
          <w:szCs w:val="24"/>
          <w:lang w:bidi="fa-IR"/>
        </w:rPr>
      </w:pPr>
      <w:r w:rsidRPr="00D575BC">
        <w:rPr>
          <w:rFonts w:ascii="Times New Roman" w:hAnsi="Times New Roman" w:cs="B Lotus" w:hint="cs"/>
          <w:bCs/>
          <w:color w:val="000000"/>
          <w:sz w:val="24"/>
          <w:szCs w:val="24"/>
          <w:rtl/>
          <w:lang w:bidi="fa-IR"/>
        </w:rPr>
        <w:t>تعارض</w:t>
      </w:r>
      <w:r w:rsidRPr="00D575BC">
        <w:rPr>
          <w:rFonts w:ascii="Times New Roman" w:hAnsi="Times New Roman" w:cs="B Lotus"/>
          <w:bCs/>
          <w:color w:val="000000"/>
          <w:sz w:val="24"/>
          <w:szCs w:val="24"/>
          <w:rtl/>
          <w:lang w:bidi="fa-IR"/>
        </w:rPr>
        <w:t xml:space="preserve"> </w:t>
      </w:r>
      <w:r w:rsidRPr="00D575BC">
        <w:rPr>
          <w:rFonts w:ascii="Times New Roman" w:hAnsi="Times New Roman" w:cs="B Lotus" w:hint="cs"/>
          <w:bCs/>
          <w:color w:val="000000"/>
          <w:sz w:val="24"/>
          <w:szCs w:val="24"/>
          <w:rtl/>
          <w:lang w:bidi="fa-IR"/>
        </w:rPr>
        <w:t xml:space="preserve">در </w:t>
      </w:r>
      <w:r w:rsidRPr="00D575BC">
        <w:rPr>
          <w:rFonts w:ascii="Times New Roman" w:hAnsi="Times New Roman" w:cs="B Lotus"/>
          <w:bCs/>
          <w:color w:val="000000"/>
          <w:sz w:val="24"/>
          <w:szCs w:val="24"/>
          <w:rtl/>
          <w:lang w:bidi="fa-IR"/>
        </w:rPr>
        <w:t>منافع:</w:t>
      </w:r>
      <w:r w:rsidRPr="00D575BC">
        <w:rPr>
          <w:rFonts w:ascii="Times New Roman" w:hAnsi="Times New Roman" w:cs="B Lotus"/>
          <w:color w:val="000000"/>
          <w:sz w:val="24"/>
          <w:szCs w:val="24"/>
          <w:rtl/>
          <w:lang w:bidi="fa-IR"/>
        </w:rPr>
        <w:t xml:space="preserve"> </w:t>
      </w:r>
      <w:r w:rsidRPr="00D575BC">
        <w:rPr>
          <w:rFonts w:ascii="Times New Roman" w:hAnsi="Times New Roman" w:cs="B Lotus" w:hint="cs"/>
          <w:color w:val="000000"/>
          <w:sz w:val="24"/>
          <w:szCs w:val="24"/>
          <w:rtl/>
          <w:lang w:bidi="fa-IR"/>
        </w:rPr>
        <w:t>وجود</w:t>
      </w:r>
      <w:r w:rsidRPr="00D575BC">
        <w:rPr>
          <w:rFonts w:ascii="Times New Roman" w:hAnsi="Times New Roman" w:cs="B Lotus"/>
          <w:color w:val="000000"/>
          <w:sz w:val="24"/>
          <w:szCs w:val="24"/>
          <w:rtl/>
          <w:lang w:bidi="fa-IR"/>
        </w:rPr>
        <w:t xml:space="preserve"> ندارند.</w:t>
      </w:r>
    </w:p>
    <w:p w14:paraId="648A9D85" w14:textId="77777777" w:rsidR="00CF69B3" w:rsidRPr="00D575BC" w:rsidRDefault="00CF69B3" w:rsidP="00CF69B3">
      <w:pPr>
        <w:bidi/>
        <w:spacing w:line="400" w:lineRule="exact"/>
        <w:ind w:firstLine="227"/>
        <w:rPr>
          <w:rFonts w:ascii="Times New Roman" w:hAnsi="Times New Roman" w:cs="B Lotus"/>
          <w:b/>
          <w:bCs/>
          <w:color w:val="000000"/>
          <w:sz w:val="24"/>
          <w:szCs w:val="24"/>
          <w:rtl/>
          <w:lang w:bidi="fa-IR"/>
        </w:rPr>
      </w:pPr>
      <w:r w:rsidRPr="00D575BC">
        <w:rPr>
          <w:rFonts w:ascii="Times New Roman" w:hAnsi="Times New Roman" w:cs="B Lotus"/>
          <w:b/>
          <w:bCs/>
          <w:color w:val="000000"/>
          <w:sz w:val="24"/>
          <w:szCs w:val="24"/>
          <w:rtl/>
          <w:lang w:bidi="fa-IR"/>
        </w:rPr>
        <w:t>ملاحظات اخلاق</w:t>
      </w:r>
      <w:r w:rsidRPr="00D575BC">
        <w:rPr>
          <w:rFonts w:ascii="Times New Roman" w:hAnsi="Times New Roman" w:cs="B Lotus" w:hint="cs"/>
          <w:b/>
          <w:bCs/>
          <w:color w:val="000000"/>
          <w:sz w:val="24"/>
          <w:szCs w:val="24"/>
          <w:rtl/>
          <w:lang w:bidi="fa-IR"/>
        </w:rPr>
        <w:t>ی</w:t>
      </w:r>
    </w:p>
    <w:p w14:paraId="34C9F19A" w14:textId="77777777" w:rsidR="00CF69B3" w:rsidRPr="00D575BC" w:rsidRDefault="00CF69B3" w:rsidP="00CF69B3">
      <w:pPr>
        <w:pStyle w:val="a0"/>
        <w:jc w:val="left"/>
        <w:rPr>
          <w:sz w:val="24"/>
          <w:szCs w:val="24"/>
          <w:rtl/>
        </w:rPr>
      </w:pPr>
      <w:r w:rsidRPr="00D575BC">
        <w:rPr>
          <w:rFonts w:hint="cs"/>
          <w:spacing w:val="-2"/>
          <w:sz w:val="24"/>
          <w:szCs w:val="24"/>
          <w:rtl/>
        </w:rPr>
        <w:t xml:space="preserve">پروپوزال این تحقیق توسط </w:t>
      </w:r>
      <w:r w:rsidRPr="00D575BC">
        <w:rPr>
          <w:b/>
          <w:color w:val="000000"/>
          <w:sz w:val="24"/>
          <w:szCs w:val="24"/>
          <w:rtl/>
        </w:rPr>
        <w:t xml:space="preserve">دانشگاه آزاد اسلامي- واحد </w:t>
      </w:r>
      <w:r w:rsidRPr="00D575BC">
        <w:rPr>
          <w:rFonts w:hint="cs"/>
          <w:b/>
          <w:color w:val="000000"/>
          <w:sz w:val="24"/>
          <w:szCs w:val="24"/>
          <w:rtl/>
        </w:rPr>
        <w:t>اهواز</w:t>
      </w:r>
      <w:r w:rsidRPr="00D575BC">
        <w:rPr>
          <w:rFonts w:hint="cs"/>
          <w:spacing w:val="-2"/>
          <w:sz w:val="24"/>
          <w:szCs w:val="24"/>
          <w:rtl/>
        </w:rPr>
        <w:t xml:space="preserve"> تصویب شده است </w:t>
      </w:r>
      <w:r w:rsidRPr="00D575BC">
        <w:rPr>
          <w:spacing w:val="-2"/>
          <w:sz w:val="24"/>
          <w:szCs w:val="24"/>
          <w:rtl/>
        </w:rPr>
        <w:t>(کد اخلاق :</w:t>
      </w:r>
      <w:r w:rsidRPr="00D575BC">
        <w:rPr>
          <w:sz w:val="24"/>
          <w:szCs w:val="24"/>
        </w:rPr>
        <w:t xml:space="preserve"> </w:t>
      </w:r>
      <w:r w:rsidRPr="00D575BC">
        <w:rPr>
          <w:spacing w:val="-2"/>
          <w:sz w:val="24"/>
          <w:szCs w:val="24"/>
        </w:rPr>
        <w:t>IR.IAU.AHVAZ.REC.1404.400)</w:t>
      </w:r>
    </w:p>
    <w:p w14:paraId="42466535" w14:textId="77777777" w:rsidR="00CF69B3" w:rsidRPr="00D575BC" w:rsidRDefault="00CF69B3" w:rsidP="00CF69B3">
      <w:pPr>
        <w:pStyle w:val="1"/>
        <w:jc w:val="both"/>
        <w:rPr>
          <w:b w:val="0"/>
          <w:sz w:val="24"/>
          <w:szCs w:val="24"/>
          <w:rtl/>
        </w:rPr>
      </w:pPr>
      <w:bookmarkStart w:id="22" w:name="_Toc202482596"/>
      <w:r w:rsidRPr="00D575BC">
        <w:rPr>
          <w:rFonts w:hint="cs"/>
          <w:b w:val="0"/>
          <w:sz w:val="24"/>
          <w:szCs w:val="24"/>
          <w:rtl/>
        </w:rPr>
        <w:t xml:space="preserve"> منابع</w:t>
      </w:r>
      <w:bookmarkEnd w:id="22"/>
    </w:p>
    <w:p w14:paraId="21A567F0" w14:textId="77777777" w:rsidR="00CF69B3" w:rsidRPr="00D575BC" w:rsidRDefault="00CF69B3" w:rsidP="00CF69B3">
      <w:pPr>
        <w:pStyle w:val="EndNoteBibliography"/>
        <w:spacing w:after="0"/>
        <w:rPr>
          <w:rFonts w:cs="B Lotus"/>
          <w:sz w:val="24"/>
          <w:szCs w:val="24"/>
          <w:rtl/>
        </w:rPr>
      </w:pPr>
      <w:r w:rsidRPr="00D575BC">
        <w:rPr>
          <w:rFonts w:cs="B Lotus"/>
          <w:bCs/>
          <w:sz w:val="24"/>
          <w:szCs w:val="24"/>
          <w:rtl/>
          <w:lang w:bidi="ar-SA"/>
        </w:rPr>
        <w:fldChar w:fldCharType="begin"/>
      </w:r>
      <w:r w:rsidRPr="00D575BC">
        <w:rPr>
          <w:rFonts w:cs="B Lotus"/>
          <w:bCs/>
          <w:sz w:val="24"/>
          <w:szCs w:val="24"/>
          <w:rtl/>
        </w:rPr>
        <w:instrText xml:space="preserve"> </w:instrText>
      </w:r>
      <w:r w:rsidRPr="00D575BC">
        <w:rPr>
          <w:rFonts w:cs="B Lotus"/>
          <w:bCs/>
          <w:sz w:val="24"/>
          <w:szCs w:val="24"/>
        </w:rPr>
        <w:instrText>ADDIN EN.REFLIST</w:instrText>
      </w:r>
      <w:r w:rsidRPr="00D575BC">
        <w:rPr>
          <w:rFonts w:cs="B Lotus"/>
          <w:bCs/>
          <w:sz w:val="24"/>
          <w:szCs w:val="24"/>
          <w:rtl/>
        </w:rPr>
        <w:instrText xml:space="preserve"> </w:instrText>
      </w:r>
      <w:r w:rsidRPr="00D575BC">
        <w:rPr>
          <w:rFonts w:cs="B Lotus"/>
          <w:bCs/>
          <w:sz w:val="24"/>
          <w:szCs w:val="24"/>
          <w:rtl/>
          <w:lang w:bidi="ar-SA"/>
        </w:rPr>
        <w:fldChar w:fldCharType="separate"/>
      </w:r>
      <w:r w:rsidRPr="00D575BC">
        <w:rPr>
          <w:rFonts w:cs="B Lotus"/>
          <w:sz w:val="24"/>
          <w:szCs w:val="24"/>
          <w:rtl/>
        </w:rPr>
        <w:t>1.</w:t>
      </w:r>
      <w:r w:rsidRPr="00D575BC">
        <w:rPr>
          <w:rFonts w:cs="B Lotus"/>
          <w:sz w:val="24"/>
          <w:szCs w:val="24"/>
          <w:rtl/>
        </w:rPr>
        <w:tab/>
      </w:r>
      <w:r w:rsidRPr="00D575BC">
        <w:rPr>
          <w:rFonts w:cs="B Lotus"/>
          <w:sz w:val="24"/>
          <w:szCs w:val="24"/>
        </w:rPr>
        <w:t>Zhou Z, Wang Y, Gao Z, Chen Q, Wu H, Sun J, et al. CXCL1 Promotes Osteoblast Autophagy and Inhibits Ferroptosis Through the Activation of the TGF‐β/Smad Signalling Pathway. Journal of Cellular and Molecular Medicine. 2025;29(21):e70883</w:t>
      </w:r>
      <w:r w:rsidRPr="00D575BC">
        <w:rPr>
          <w:rFonts w:cs="B Lotus"/>
          <w:sz w:val="24"/>
          <w:szCs w:val="24"/>
          <w:rtl/>
        </w:rPr>
        <w:t>.</w:t>
      </w:r>
    </w:p>
    <w:p w14:paraId="6191392D"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2.</w:t>
      </w:r>
      <w:r w:rsidRPr="00D575BC">
        <w:rPr>
          <w:rFonts w:cs="B Lotus"/>
          <w:sz w:val="24"/>
          <w:szCs w:val="24"/>
          <w:rtl/>
        </w:rPr>
        <w:tab/>
      </w:r>
      <w:r w:rsidRPr="00D575BC">
        <w:rPr>
          <w:rFonts w:cs="B Lotus"/>
          <w:sz w:val="24"/>
          <w:szCs w:val="24"/>
        </w:rPr>
        <w:t>Toya S, Struyf S, Huerta L, Morris P, Gavioli E, Minnella EM, et al. A narrative review of chemokine receptors CXCR1 and CXCR2 and their role in acute respiratory distress syndrome. European Respiratory Review. 2024;33</w:t>
      </w:r>
      <w:r w:rsidRPr="00D575BC">
        <w:rPr>
          <w:rFonts w:cs="B Lotus"/>
          <w:sz w:val="24"/>
          <w:szCs w:val="24"/>
          <w:rtl/>
        </w:rPr>
        <w:t>(173).</w:t>
      </w:r>
    </w:p>
    <w:p w14:paraId="1B4B6F22"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3.</w:t>
      </w:r>
      <w:r w:rsidRPr="00D575BC">
        <w:rPr>
          <w:rFonts w:cs="B Lotus"/>
          <w:sz w:val="24"/>
          <w:szCs w:val="24"/>
          <w:rtl/>
        </w:rPr>
        <w:tab/>
      </w:r>
      <w:r w:rsidRPr="00D575BC">
        <w:rPr>
          <w:rFonts w:cs="B Lotus"/>
          <w:sz w:val="24"/>
          <w:szCs w:val="24"/>
        </w:rPr>
        <w:t>Korbecki J, Barczak K, Gutowska I, Chlubek D, Baranowska-Bosiacka I. CXCL1: gene, promoter, regulation of expression, mRNA stability, regulation of activity in the intercellular space. International journal of molecular sciences. 2022;23(2):792</w:t>
      </w:r>
      <w:r w:rsidRPr="00D575BC">
        <w:rPr>
          <w:rFonts w:cs="B Lotus"/>
          <w:sz w:val="24"/>
          <w:szCs w:val="24"/>
          <w:rtl/>
        </w:rPr>
        <w:t>.</w:t>
      </w:r>
    </w:p>
    <w:p w14:paraId="37F32187"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4.</w:t>
      </w:r>
      <w:r w:rsidRPr="00D575BC">
        <w:rPr>
          <w:rFonts w:cs="B Lotus"/>
          <w:sz w:val="24"/>
          <w:szCs w:val="24"/>
          <w:rtl/>
        </w:rPr>
        <w:tab/>
      </w:r>
      <w:r w:rsidRPr="00D575BC">
        <w:rPr>
          <w:rFonts w:cs="B Lotus"/>
          <w:sz w:val="24"/>
          <w:szCs w:val="24"/>
        </w:rPr>
        <w:t>Zdanowska N, Kasprowicz-Furmańczyk M, Placek</w:t>
      </w:r>
      <w:r w:rsidRPr="00D575BC">
        <w:rPr>
          <w:rFonts w:cs="B Lotus"/>
          <w:sz w:val="24"/>
          <w:szCs w:val="24"/>
          <w:rtl/>
        </w:rPr>
        <w:t xml:space="preserve"> </w:t>
      </w:r>
      <w:r w:rsidRPr="00D575BC">
        <w:rPr>
          <w:rFonts w:cs="B Lotus"/>
          <w:sz w:val="24"/>
          <w:szCs w:val="24"/>
        </w:rPr>
        <w:t>W, Owczarczyk-Saczonek A. The role of chemokines in psoriasis—an overview. Medicina. 2021;57(8):754</w:t>
      </w:r>
      <w:r w:rsidRPr="00D575BC">
        <w:rPr>
          <w:rFonts w:cs="B Lotus"/>
          <w:sz w:val="24"/>
          <w:szCs w:val="24"/>
          <w:rtl/>
        </w:rPr>
        <w:t>.</w:t>
      </w:r>
    </w:p>
    <w:p w14:paraId="0559F809"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5.</w:t>
      </w:r>
      <w:r w:rsidRPr="00D575BC">
        <w:rPr>
          <w:rFonts w:cs="B Lotus"/>
          <w:sz w:val="24"/>
          <w:szCs w:val="24"/>
          <w:rtl/>
        </w:rPr>
        <w:tab/>
      </w:r>
      <w:r w:rsidRPr="00D575BC">
        <w:rPr>
          <w:rFonts w:cs="B Lotus"/>
          <w:sz w:val="24"/>
          <w:szCs w:val="24"/>
        </w:rPr>
        <w:t>Li X, Li C, Zhang W, Wang Y, Qian P, Huang H. Inflammation and aging: signaling pathways and intervention therapies. Signal transduction and targeted therapy. 2023;8(1):239</w:t>
      </w:r>
      <w:r w:rsidRPr="00D575BC">
        <w:rPr>
          <w:rFonts w:cs="B Lotus"/>
          <w:sz w:val="24"/>
          <w:szCs w:val="24"/>
          <w:rtl/>
        </w:rPr>
        <w:t>.</w:t>
      </w:r>
    </w:p>
    <w:p w14:paraId="678D2964"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lastRenderedPageBreak/>
        <w:t>6.</w:t>
      </w:r>
      <w:r w:rsidRPr="00D575BC">
        <w:rPr>
          <w:rFonts w:cs="B Lotus"/>
          <w:sz w:val="24"/>
          <w:szCs w:val="24"/>
          <w:rtl/>
        </w:rPr>
        <w:tab/>
      </w:r>
      <w:r w:rsidRPr="00D575BC">
        <w:rPr>
          <w:rFonts w:cs="B Lotus"/>
          <w:sz w:val="24"/>
          <w:szCs w:val="24"/>
        </w:rPr>
        <w:t>Korbecki J, Bosiacki M, Szatkowska I, Kupnicka P, Chlubek D, Baranowska-Bosiacka I. The clinical significance and involvement in molecular cancer processes of chemokine CXCL1 in selected tumors. International Journal of Molecular</w:t>
      </w:r>
      <w:r w:rsidRPr="00D575BC">
        <w:rPr>
          <w:rFonts w:cs="B Lotus"/>
          <w:sz w:val="24"/>
          <w:szCs w:val="24"/>
          <w:rtl/>
        </w:rPr>
        <w:t xml:space="preserve"> </w:t>
      </w:r>
      <w:r w:rsidRPr="00D575BC">
        <w:rPr>
          <w:rFonts w:cs="B Lotus"/>
          <w:sz w:val="24"/>
          <w:szCs w:val="24"/>
        </w:rPr>
        <w:t>Sciences. 2024;25(8):4365</w:t>
      </w:r>
      <w:r w:rsidRPr="00D575BC">
        <w:rPr>
          <w:rFonts w:cs="B Lotus"/>
          <w:sz w:val="24"/>
          <w:szCs w:val="24"/>
          <w:rtl/>
        </w:rPr>
        <w:t>.</w:t>
      </w:r>
    </w:p>
    <w:p w14:paraId="2D79BD0B"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7.</w:t>
      </w:r>
      <w:r w:rsidRPr="00D575BC">
        <w:rPr>
          <w:rFonts w:cs="B Lotus"/>
          <w:sz w:val="24"/>
          <w:szCs w:val="24"/>
          <w:rtl/>
        </w:rPr>
        <w:tab/>
      </w:r>
      <w:r w:rsidRPr="00D575BC">
        <w:rPr>
          <w:rFonts w:cs="B Lotus"/>
          <w:sz w:val="24"/>
          <w:szCs w:val="24"/>
        </w:rPr>
        <w:t>Zwolak I. Epigallocatechin gallate for management of heavy metal-induced oxidative stress: mechanisms of action, efficacy, and concerns. International Journal of Molecular Sciences. 2021;22(8):4027</w:t>
      </w:r>
      <w:r w:rsidRPr="00D575BC">
        <w:rPr>
          <w:rFonts w:cs="B Lotus"/>
          <w:sz w:val="24"/>
          <w:szCs w:val="24"/>
          <w:rtl/>
        </w:rPr>
        <w:t>.</w:t>
      </w:r>
    </w:p>
    <w:p w14:paraId="32560F10"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8.</w:t>
      </w:r>
      <w:r w:rsidRPr="00D575BC">
        <w:rPr>
          <w:rFonts w:cs="B Lotus"/>
          <w:sz w:val="24"/>
          <w:szCs w:val="24"/>
          <w:rtl/>
        </w:rPr>
        <w:tab/>
      </w:r>
      <w:r w:rsidRPr="00D575BC">
        <w:rPr>
          <w:rFonts w:cs="B Lotus"/>
          <w:sz w:val="24"/>
          <w:szCs w:val="24"/>
        </w:rPr>
        <w:t>Capasso L, De Masi L</w:t>
      </w:r>
      <w:r w:rsidRPr="00D575BC">
        <w:rPr>
          <w:rFonts w:cs="B Lotus"/>
          <w:sz w:val="24"/>
          <w:szCs w:val="24"/>
          <w:rtl/>
        </w:rPr>
        <w:t xml:space="preserve">, </w:t>
      </w:r>
      <w:r w:rsidRPr="00D575BC">
        <w:rPr>
          <w:rFonts w:cs="B Lotus"/>
          <w:sz w:val="24"/>
          <w:szCs w:val="24"/>
        </w:rPr>
        <w:t>Sirignano C, Maresca V, Basile A, Nebbioso A, et al. Epigallocatechin gallate (EGCG): Pharmacological properties, biological activities and therapeutic potential. Molecules. 2025;30(3):654</w:t>
      </w:r>
      <w:r w:rsidRPr="00D575BC">
        <w:rPr>
          <w:rFonts w:cs="B Lotus"/>
          <w:sz w:val="24"/>
          <w:szCs w:val="24"/>
          <w:rtl/>
        </w:rPr>
        <w:t>.</w:t>
      </w:r>
    </w:p>
    <w:p w14:paraId="2A8C97E7"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9.</w:t>
      </w:r>
      <w:r w:rsidRPr="00D575BC">
        <w:rPr>
          <w:rFonts w:cs="B Lotus"/>
          <w:sz w:val="24"/>
          <w:szCs w:val="24"/>
          <w:rtl/>
        </w:rPr>
        <w:tab/>
      </w:r>
      <w:r w:rsidRPr="00D575BC">
        <w:rPr>
          <w:rFonts w:cs="B Lotus"/>
          <w:sz w:val="24"/>
          <w:szCs w:val="24"/>
        </w:rPr>
        <w:t>Zhang Y, Xu Q, Hu J, Zhang F, Yu Y, Ma L. Green tea and epigallocatechin gallate (EGCG) for cancer prevention: a systematic review and meta-analysis. The American Journal of Chinese Medicine. 2025;53(06):1755-84</w:t>
      </w:r>
      <w:r w:rsidRPr="00D575BC">
        <w:rPr>
          <w:rFonts w:cs="B Lotus"/>
          <w:sz w:val="24"/>
          <w:szCs w:val="24"/>
          <w:rtl/>
        </w:rPr>
        <w:t>.</w:t>
      </w:r>
    </w:p>
    <w:p w14:paraId="6EAC5082"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10.</w:t>
      </w:r>
      <w:r w:rsidRPr="00D575BC">
        <w:rPr>
          <w:rFonts w:cs="B Lotus"/>
          <w:sz w:val="24"/>
          <w:szCs w:val="24"/>
          <w:rtl/>
        </w:rPr>
        <w:tab/>
      </w:r>
      <w:r w:rsidRPr="00D575BC">
        <w:rPr>
          <w:rFonts w:cs="B Lotus"/>
          <w:sz w:val="24"/>
          <w:szCs w:val="24"/>
        </w:rPr>
        <w:t>Nag S, Bhunia A, Mohanto S, Ahmed MG, Subramaniyan V. Rising potentials of epigallocatechin gallate</w:t>
      </w:r>
      <w:r w:rsidRPr="00D575BC">
        <w:rPr>
          <w:rFonts w:cs="B Lotus"/>
          <w:sz w:val="24"/>
          <w:szCs w:val="24"/>
          <w:rtl/>
        </w:rPr>
        <w:t xml:space="preserve"> </w:t>
      </w:r>
      <w:r w:rsidRPr="00D575BC">
        <w:rPr>
          <w:rFonts w:cs="B Lotus"/>
          <w:sz w:val="24"/>
          <w:szCs w:val="24"/>
        </w:rPr>
        <w:t>(EGCG) loaded lipid-based delivery platforms for breast cancer. Discover Applied Sciences. 2024;6(8):426</w:t>
      </w:r>
      <w:r w:rsidRPr="00D575BC">
        <w:rPr>
          <w:rFonts w:cs="B Lotus"/>
          <w:sz w:val="24"/>
          <w:szCs w:val="24"/>
          <w:rtl/>
        </w:rPr>
        <w:t>.</w:t>
      </w:r>
    </w:p>
    <w:p w14:paraId="63997207"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11.</w:t>
      </w:r>
      <w:r w:rsidRPr="00D575BC">
        <w:rPr>
          <w:rFonts w:cs="B Lotus"/>
          <w:sz w:val="24"/>
          <w:szCs w:val="24"/>
          <w:rtl/>
        </w:rPr>
        <w:tab/>
      </w:r>
      <w:r w:rsidRPr="00D575BC">
        <w:rPr>
          <w:rFonts w:cs="B Lotus"/>
          <w:sz w:val="24"/>
          <w:szCs w:val="24"/>
        </w:rPr>
        <w:t>Talib WH, Awajan D, Alqudah A, Alsawwaf R, Althunibat R, Abu AlRoos M, et al. Targeting cancer hallmarks with epigallocatechin gallate (EGCG): mechanistic basis and therapeutic targets. Molecules. 2024;29(6):1373</w:t>
      </w:r>
      <w:r w:rsidRPr="00D575BC">
        <w:rPr>
          <w:rFonts w:cs="B Lotus"/>
          <w:sz w:val="24"/>
          <w:szCs w:val="24"/>
          <w:rtl/>
        </w:rPr>
        <w:t>.</w:t>
      </w:r>
    </w:p>
    <w:p w14:paraId="10B8587A"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12.</w:t>
      </w:r>
      <w:r w:rsidRPr="00D575BC">
        <w:rPr>
          <w:rFonts w:cs="B Lotus"/>
          <w:sz w:val="24"/>
          <w:szCs w:val="24"/>
          <w:rtl/>
        </w:rPr>
        <w:tab/>
      </w:r>
      <w:r w:rsidRPr="00D575BC">
        <w:rPr>
          <w:rFonts w:cs="B Lotus"/>
          <w:sz w:val="24"/>
          <w:szCs w:val="24"/>
        </w:rPr>
        <w:t>Islam MR, Rauf A, Akter S, Akter H, Al-Imran MIK, Islam S, et al. Epigallocatechin 3-gallate-induced neuroprotection in neurodegenerative diseases: molecular mechanisms and clinical</w:t>
      </w:r>
      <w:r w:rsidRPr="00D575BC">
        <w:rPr>
          <w:rFonts w:cs="B Lotus"/>
          <w:sz w:val="24"/>
          <w:szCs w:val="24"/>
          <w:rtl/>
        </w:rPr>
        <w:t xml:space="preserve"> </w:t>
      </w:r>
      <w:r w:rsidRPr="00D575BC">
        <w:rPr>
          <w:rFonts w:cs="B Lotus"/>
          <w:sz w:val="24"/>
          <w:szCs w:val="24"/>
        </w:rPr>
        <w:t>insights. Molecular and Cellular Biochemistry. 2025;480(6):3363-83</w:t>
      </w:r>
      <w:r w:rsidRPr="00D575BC">
        <w:rPr>
          <w:rFonts w:cs="B Lotus"/>
          <w:sz w:val="24"/>
          <w:szCs w:val="24"/>
          <w:rtl/>
        </w:rPr>
        <w:t>.</w:t>
      </w:r>
    </w:p>
    <w:p w14:paraId="0B27034F"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13.</w:t>
      </w:r>
      <w:r w:rsidRPr="00D575BC">
        <w:rPr>
          <w:rFonts w:cs="B Lotus"/>
          <w:sz w:val="24"/>
          <w:szCs w:val="24"/>
          <w:rtl/>
        </w:rPr>
        <w:tab/>
      </w:r>
      <w:r w:rsidRPr="00D575BC">
        <w:rPr>
          <w:rFonts w:cs="B Lotus"/>
          <w:sz w:val="24"/>
          <w:szCs w:val="24"/>
        </w:rPr>
        <w:t>Zhang Z, Jia Y, Zhang C, Zhang Z, Jin F, Pan D, et al. Efficacy of epigallocatechin gallate (EGCG) and its underlying mechanism in preventing bisphenol-A-induced metabolic disorders in mice. Journal of Hazardous Materials. 2024;469:134098</w:t>
      </w:r>
      <w:r w:rsidRPr="00D575BC">
        <w:rPr>
          <w:rFonts w:cs="B Lotus"/>
          <w:sz w:val="24"/>
          <w:szCs w:val="24"/>
          <w:rtl/>
        </w:rPr>
        <w:t>.</w:t>
      </w:r>
    </w:p>
    <w:p w14:paraId="72B6B002"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14.</w:t>
      </w:r>
      <w:r w:rsidRPr="00D575BC">
        <w:rPr>
          <w:rFonts w:cs="B Lotus"/>
          <w:sz w:val="24"/>
          <w:szCs w:val="24"/>
          <w:rtl/>
        </w:rPr>
        <w:tab/>
      </w:r>
      <w:r w:rsidRPr="00D575BC">
        <w:rPr>
          <w:rFonts w:cs="B Lotus"/>
          <w:sz w:val="24"/>
          <w:szCs w:val="24"/>
        </w:rPr>
        <w:t>Mehmood S, Maqsood M, Mahtab N, Khan MI, Sahar A, Zaib S, Gul S. Epigallocatechin gallate: Phytochemistry, bioavailability, utilization challenges, and strategies. Journal of Food Biochemistry</w:t>
      </w:r>
      <w:r w:rsidRPr="00D575BC">
        <w:rPr>
          <w:rFonts w:cs="B Lotus"/>
          <w:sz w:val="24"/>
          <w:szCs w:val="24"/>
          <w:rtl/>
        </w:rPr>
        <w:t>. 2022;46(8):</w:t>
      </w:r>
      <w:r w:rsidRPr="00D575BC">
        <w:rPr>
          <w:rFonts w:cs="B Lotus"/>
          <w:sz w:val="24"/>
          <w:szCs w:val="24"/>
        </w:rPr>
        <w:t>e14189</w:t>
      </w:r>
      <w:r w:rsidRPr="00D575BC">
        <w:rPr>
          <w:rFonts w:cs="B Lotus"/>
          <w:sz w:val="24"/>
          <w:szCs w:val="24"/>
          <w:rtl/>
        </w:rPr>
        <w:t>.</w:t>
      </w:r>
    </w:p>
    <w:p w14:paraId="658B3369"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15.</w:t>
      </w:r>
      <w:r w:rsidRPr="00D575BC">
        <w:rPr>
          <w:rFonts w:cs="B Lotus"/>
          <w:sz w:val="24"/>
          <w:szCs w:val="24"/>
          <w:rtl/>
        </w:rPr>
        <w:tab/>
      </w:r>
      <w:r w:rsidRPr="00D575BC">
        <w:rPr>
          <w:rFonts w:cs="B Lotus"/>
          <w:sz w:val="24"/>
          <w:szCs w:val="24"/>
        </w:rPr>
        <w:t>Salama A, Yassen NN, Khalaf SS, Fahmy MI. Chrysin ameliorates D-galactose-induced liver aging in mice: the impact of targeting Nrf2/AKT and CXCL1/TNF-α/P53 signaling pathways. Journal of Pharmacy and Pharmacology. 2025;77(10):1450-8</w:t>
      </w:r>
      <w:r w:rsidRPr="00D575BC">
        <w:rPr>
          <w:rFonts w:cs="B Lotus"/>
          <w:sz w:val="24"/>
          <w:szCs w:val="24"/>
          <w:rtl/>
        </w:rPr>
        <w:t>.</w:t>
      </w:r>
    </w:p>
    <w:p w14:paraId="2840388F"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16.</w:t>
      </w:r>
      <w:r w:rsidRPr="00D575BC">
        <w:rPr>
          <w:rFonts w:cs="B Lotus"/>
          <w:sz w:val="24"/>
          <w:szCs w:val="24"/>
          <w:rtl/>
        </w:rPr>
        <w:tab/>
      </w:r>
      <w:r w:rsidRPr="00D575BC">
        <w:rPr>
          <w:rFonts w:cs="B Lotus"/>
          <w:sz w:val="24"/>
          <w:szCs w:val="24"/>
        </w:rPr>
        <w:t>Liu Y, Qian T, Zhang N, Cao J, Lu X, Tong Q, et al. Deciphering the mechanisms of the IL-6/CXCL1 and NOD-like receptor signaling pathways in otitis media with effusion in rodents. International Immunopharmacology. 2024;142:113192</w:t>
      </w:r>
      <w:r w:rsidRPr="00D575BC">
        <w:rPr>
          <w:rFonts w:cs="B Lotus"/>
          <w:sz w:val="24"/>
          <w:szCs w:val="24"/>
          <w:rtl/>
        </w:rPr>
        <w:t>.</w:t>
      </w:r>
    </w:p>
    <w:p w14:paraId="42C691A0"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17.</w:t>
      </w:r>
      <w:r w:rsidRPr="00D575BC">
        <w:rPr>
          <w:rFonts w:cs="B Lotus"/>
          <w:sz w:val="24"/>
          <w:szCs w:val="24"/>
          <w:rtl/>
        </w:rPr>
        <w:tab/>
      </w:r>
      <w:r w:rsidRPr="00D575BC">
        <w:rPr>
          <w:rFonts w:cs="B Lotus"/>
          <w:sz w:val="24"/>
          <w:szCs w:val="24"/>
        </w:rPr>
        <w:t>Adamcakova J</w:t>
      </w:r>
      <w:r w:rsidRPr="00D575BC">
        <w:rPr>
          <w:rFonts w:cs="B Lotus"/>
          <w:sz w:val="24"/>
          <w:szCs w:val="24"/>
          <w:rtl/>
        </w:rPr>
        <w:t xml:space="preserve">, </w:t>
      </w:r>
      <w:r w:rsidRPr="00D575BC">
        <w:rPr>
          <w:rFonts w:cs="B Lotus"/>
          <w:sz w:val="24"/>
          <w:szCs w:val="24"/>
        </w:rPr>
        <w:t>Balentova S, Barosova R, Hanusrichterova J, Mikolka P, Prso K, et al. Effects of green tea polyphenol epigallocatechin-3-gallate on markers of inflammation and fibrosis in a rat model of pulmonary silicosis. International Journal of Molecular Sciences. 20</w:t>
      </w:r>
      <w:r w:rsidRPr="00D575BC">
        <w:rPr>
          <w:rFonts w:cs="B Lotus"/>
          <w:sz w:val="24"/>
          <w:szCs w:val="24"/>
          <w:rtl/>
        </w:rPr>
        <w:t>23;24(3):1857.</w:t>
      </w:r>
    </w:p>
    <w:p w14:paraId="56CD927F"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lastRenderedPageBreak/>
        <w:t>18.</w:t>
      </w:r>
      <w:r w:rsidRPr="00D575BC">
        <w:rPr>
          <w:rFonts w:cs="B Lotus"/>
          <w:sz w:val="24"/>
          <w:szCs w:val="24"/>
          <w:rtl/>
        </w:rPr>
        <w:tab/>
      </w:r>
      <w:r w:rsidRPr="00D575BC">
        <w:rPr>
          <w:rFonts w:cs="B Lotus"/>
          <w:sz w:val="24"/>
          <w:szCs w:val="24"/>
        </w:rPr>
        <w:t>Mofid Nakhaei MA, Mohammadi N, Abediankenari S. Effect of Epigallocatechin gallate (EGCG) on Production of Dendritic Cells from Peripheral Blood Monocytes. Journal of Mazandaran University of Medical Sciences. 2020;30(190):1-10</w:t>
      </w:r>
      <w:r w:rsidRPr="00D575BC">
        <w:rPr>
          <w:rFonts w:cs="B Lotus"/>
          <w:sz w:val="24"/>
          <w:szCs w:val="24"/>
          <w:rtl/>
        </w:rPr>
        <w:t>.</w:t>
      </w:r>
    </w:p>
    <w:p w14:paraId="2779F724"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19.</w:t>
      </w:r>
      <w:r w:rsidRPr="00D575BC">
        <w:rPr>
          <w:rFonts w:cs="B Lotus"/>
          <w:sz w:val="24"/>
          <w:szCs w:val="24"/>
          <w:rtl/>
        </w:rPr>
        <w:tab/>
      </w:r>
      <w:r w:rsidRPr="00D575BC">
        <w:rPr>
          <w:rFonts w:cs="B Lotus"/>
          <w:sz w:val="24"/>
          <w:szCs w:val="24"/>
        </w:rPr>
        <w:t>Mohsenzadeh MS, Razavi BM, Imenshahidi M, Yazdi SAT, Mohajeri SA, Hosseinzadeh H. Potential role of green tea extract and epigallocatechin gallate in preventing bisphenol A-induced metabolic disorders in rats: Biochemical and molecular evidence. Phytomedicine. 2021;92:153754</w:t>
      </w:r>
      <w:r w:rsidRPr="00D575BC">
        <w:rPr>
          <w:rFonts w:cs="B Lotus"/>
          <w:sz w:val="24"/>
          <w:szCs w:val="24"/>
          <w:rtl/>
        </w:rPr>
        <w:t>.</w:t>
      </w:r>
    </w:p>
    <w:p w14:paraId="0D0AF43A"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20.</w:t>
      </w:r>
      <w:r w:rsidRPr="00D575BC">
        <w:rPr>
          <w:rFonts w:cs="B Lotus"/>
          <w:sz w:val="24"/>
          <w:szCs w:val="24"/>
          <w:rtl/>
        </w:rPr>
        <w:tab/>
      </w:r>
      <w:r w:rsidRPr="00D575BC">
        <w:rPr>
          <w:rFonts w:cs="B Lotus"/>
          <w:sz w:val="24"/>
          <w:szCs w:val="24"/>
        </w:rPr>
        <w:t>Yao Y-Q, Cao Q-Y, Li Z. Delaying liver aging: Analysis of structural and functional alterations. World Journal of Gastroenterology. 2025;31(15):103773</w:t>
      </w:r>
      <w:r w:rsidRPr="00D575BC">
        <w:rPr>
          <w:rFonts w:cs="B Lotus"/>
          <w:sz w:val="24"/>
          <w:szCs w:val="24"/>
          <w:rtl/>
        </w:rPr>
        <w:t>.</w:t>
      </w:r>
    </w:p>
    <w:p w14:paraId="784807DE"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21.</w:t>
      </w:r>
      <w:r w:rsidRPr="00D575BC">
        <w:rPr>
          <w:rFonts w:cs="B Lotus"/>
          <w:sz w:val="24"/>
          <w:szCs w:val="24"/>
          <w:rtl/>
        </w:rPr>
        <w:tab/>
      </w:r>
      <w:r w:rsidRPr="00D575BC">
        <w:rPr>
          <w:rFonts w:cs="B Lotus"/>
          <w:sz w:val="24"/>
          <w:szCs w:val="24"/>
        </w:rPr>
        <w:t>Jiang M, Zheng Z, Wang X, Chen Y, Qu J, Ding Q, et al. A biomarker framework</w:t>
      </w:r>
      <w:r w:rsidRPr="00D575BC">
        <w:rPr>
          <w:rFonts w:cs="B Lotus"/>
          <w:sz w:val="24"/>
          <w:szCs w:val="24"/>
          <w:rtl/>
        </w:rPr>
        <w:t xml:space="preserve"> </w:t>
      </w:r>
      <w:r w:rsidRPr="00D575BC">
        <w:rPr>
          <w:rFonts w:cs="B Lotus"/>
          <w:sz w:val="24"/>
          <w:szCs w:val="24"/>
        </w:rPr>
        <w:t>for liver aging: the Aging Biomarker Consortium consensus statement. Life Medicine. 2024;3(1):lnae004</w:t>
      </w:r>
      <w:r w:rsidRPr="00D575BC">
        <w:rPr>
          <w:rFonts w:cs="B Lotus"/>
          <w:sz w:val="24"/>
          <w:szCs w:val="24"/>
          <w:rtl/>
        </w:rPr>
        <w:t>.</w:t>
      </w:r>
    </w:p>
    <w:p w14:paraId="7E62D5B1"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22.</w:t>
      </w:r>
      <w:r w:rsidRPr="00D575BC">
        <w:rPr>
          <w:rFonts w:cs="B Lotus"/>
          <w:sz w:val="24"/>
          <w:szCs w:val="24"/>
          <w:rtl/>
        </w:rPr>
        <w:tab/>
      </w:r>
      <w:r w:rsidRPr="00D575BC">
        <w:rPr>
          <w:rFonts w:cs="B Lotus"/>
          <w:sz w:val="24"/>
          <w:szCs w:val="24"/>
        </w:rPr>
        <w:t>Li D, Cao D, Cui Y, Sun Y, Jiang J, Cao X. The potential of epigallocatechin gallate in the chemoprevention and therapy of hepatocellular carcinoma</w:t>
      </w:r>
      <w:r w:rsidRPr="00D575BC">
        <w:rPr>
          <w:rFonts w:cs="B Lotus"/>
          <w:sz w:val="24"/>
          <w:szCs w:val="24"/>
          <w:rtl/>
        </w:rPr>
        <w:t xml:space="preserve">. </w:t>
      </w:r>
      <w:r w:rsidRPr="00D575BC">
        <w:rPr>
          <w:rFonts w:cs="B Lotus"/>
          <w:sz w:val="24"/>
          <w:szCs w:val="24"/>
        </w:rPr>
        <w:t>Frontiers in Pharmacology. 2023;14:1201085</w:t>
      </w:r>
      <w:r w:rsidRPr="00D575BC">
        <w:rPr>
          <w:rFonts w:cs="B Lotus"/>
          <w:sz w:val="24"/>
          <w:szCs w:val="24"/>
          <w:rtl/>
        </w:rPr>
        <w:t>.</w:t>
      </w:r>
    </w:p>
    <w:p w14:paraId="30ACE5DB" w14:textId="77777777" w:rsidR="00CF69B3" w:rsidRPr="00D575BC" w:rsidRDefault="00CF69B3" w:rsidP="00CF69B3">
      <w:pPr>
        <w:pStyle w:val="EndNoteBibliography"/>
        <w:spacing w:after="0"/>
        <w:rPr>
          <w:rFonts w:cs="B Lotus"/>
          <w:sz w:val="24"/>
          <w:szCs w:val="24"/>
          <w:rtl/>
        </w:rPr>
      </w:pPr>
      <w:r w:rsidRPr="00D575BC">
        <w:rPr>
          <w:rFonts w:cs="B Lotus"/>
          <w:sz w:val="24"/>
          <w:szCs w:val="24"/>
          <w:rtl/>
        </w:rPr>
        <w:t>23.</w:t>
      </w:r>
      <w:r w:rsidRPr="00D575BC">
        <w:rPr>
          <w:rFonts w:cs="B Lotus"/>
          <w:sz w:val="24"/>
          <w:szCs w:val="24"/>
          <w:rtl/>
        </w:rPr>
        <w:tab/>
      </w:r>
      <w:r w:rsidRPr="00D575BC">
        <w:rPr>
          <w:rFonts w:cs="B Lotus"/>
          <w:sz w:val="24"/>
          <w:szCs w:val="24"/>
        </w:rPr>
        <w:t>Al Aameri RF, Alanisi EM, Oluwatosin A, Al Sallami D, Sheth S, Alberts I, et al. Targeting CXCL1 chemokine signaling for treating cisplatin ototoxicity. Frontiers in immunology. 2023;14:1125948</w:t>
      </w:r>
      <w:r w:rsidRPr="00D575BC">
        <w:rPr>
          <w:rFonts w:cs="B Lotus"/>
          <w:sz w:val="24"/>
          <w:szCs w:val="24"/>
          <w:rtl/>
        </w:rPr>
        <w:t>.</w:t>
      </w:r>
    </w:p>
    <w:p w14:paraId="73FAD474" w14:textId="77777777" w:rsidR="00CF69B3" w:rsidRPr="00D575BC" w:rsidRDefault="00CF69B3" w:rsidP="00CF69B3">
      <w:pPr>
        <w:pStyle w:val="EndNoteBibliography"/>
        <w:rPr>
          <w:rFonts w:cs="B Lotus"/>
          <w:sz w:val="24"/>
          <w:szCs w:val="24"/>
          <w:rtl/>
        </w:rPr>
      </w:pPr>
      <w:r w:rsidRPr="00D575BC">
        <w:rPr>
          <w:rFonts w:cs="B Lotus"/>
          <w:sz w:val="24"/>
          <w:szCs w:val="24"/>
          <w:rtl/>
        </w:rPr>
        <w:t>24.</w:t>
      </w:r>
      <w:r w:rsidRPr="00D575BC">
        <w:rPr>
          <w:rFonts w:cs="B Lotus"/>
          <w:sz w:val="24"/>
          <w:szCs w:val="24"/>
          <w:rtl/>
        </w:rPr>
        <w:tab/>
      </w:r>
      <w:r w:rsidRPr="00D575BC">
        <w:rPr>
          <w:rFonts w:cs="B Lotus"/>
          <w:sz w:val="24"/>
          <w:szCs w:val="24"/>
        </w:rPr>
        <w:t>Yang CS, Zhang J, Zhang L, Huang J, Wang Y. Mechanisms of body weight reduction and metabolic syndrome alleviation by tea. Molecular nutrition &amp; food research. 2016;60(1):160-74</w:t>
      </w:r>
      <w:r w:rsidRPr="00D575BC">
        <w:rPr>
          <w:rFonts w:cs="B Lotus"/>
          <w:sz w:val="24"/>
          <w:szCs w:val="24"/>
          <w:rtl/>
        </w:rPr>
        <w:t>.</w:t>
      </w:r>
    </w:p>
    <w:p w14:paraId="78B5546F" w14:textId="77777777" w:rsidR="00CF69B3" w:rsidRPr="00FF2A6F" w:rsidRDefault="00CF69B3" w:rsidP="00CF69B3">
      <w:pPr>
        <w:pStyle w:val="1"/>
        <w:bidi w:val="0"/>
        <w:jc w:val="both"/>
        <w:rPr>
          <w:rFonts w:asciiTheme="majorBidi" w:hAnsiTheme="majorBidi" w:cstheme="majorBidi"/>
          <w:b w:val="0"/>
          <w:bCs w:val="0"/>
          <w:sz w:val="24"/>
          <w:szCs w:val="24"/>
          <w:rtl/>
        </w:rPr>
      </w:pPr>
      <w:r w:rsidRPr="00D575BC">
        <w:rPr>
          <w:b w:val="0"/>
          <w:bCs w:val="0"/>
          <w:sz w:val="24"/>
          <w:szCs w:val="24"/>
          <w:rtl/>
        </w:rPr>
        <w:fldChar w:fldCharType="end"/>
      </w:r>
    </w:p>
    <w:p w14:paraId="7A43EE03" w14:textId="77777777" w:rsidR="008F1766" w:rsidRPr="00502345" w:rsidRDefault="008F1766" w:rsidP="008F1766">
      <w:pPr>
        <w:spacing w:after="0" w:line="360" w:lineRule="auto"/>
        <w:ind w:left="644"/>
        <w:jc w:val="both"/>
        <w:rPr>
          <w:rFonts w:asciiTheme="majorBidi" w:hAnsiTheme="majorBidi" w:cstheme="majorBidi"/>
          <w:b/>
          <w:bCs/>
          <w:sz w:val="24"/>
          <w:szCs w:val="24"/>
          <w:vertAlign w:val="superscript"/>
        </w:rPr>
      </w:pPr>
    </w:p>
    <w:sectPr w:rsidR="008F1766" w:rsidRPr="00502345" w:rsidSect="00E6341B">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 Lotus">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Traffic">
    <w:panose1 w:val="00000400000000000000"/>
    <w:charset w:val="B2"/>
    <w:family w:val="auto"/>
    <w:pitch w:val="variable"/>
    <w:sig w:usb0="00002000" w:usb1="80000000" w:usb2="00000008" w:usb3="00000000" w:csb0="00000040"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 Zar">
    <w:panose1 w:val="00000400000000000000"/>
    <w:charset w:val="B2"/>
    <w:family w:val="auto"/>
    <w:pitch w:val="variable"/>
    <w:sig w:usb0="00002001" w:usb1="80000000" w:usb2="00000008" w:usb3="00000000" w:csb0="00000040" w:csb1="00000000"/>
  </w:font>
  <w:font w:name="Consolas">
    <w:panose1 w:val="020B0609020204030204"/>
    <w:charset w:val="00"/>
    <w:family w:val="modern"/>
    <w:pitch w:val="fixed"/>
    <w:sig w:usb0="E00006FF" w:usb1="0000FCFF" w:usb2="00000001" w:usb3="00000000" w:csb0="0000019F" w:csb1="00000000"/>
  </w:font>
  <w:font w:name="B Nazanin">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4316C"/>
    <w:multiLevelType w:val="multilevel"/>
    <w:tmpl w:val="90F45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7336FA"/>
    <w:multiLevelType w:val="hybridMultilevel"/>
    <w:tmpl w:val="573AAD7A"/>
    <w:lvl w:ilvl="0" w:tplc="92625346">
      <w:start w:val="1"/>
      <w:numFmt w:val="decimal"/>
      <w:lvlText w:val="%1."/>
      <w:lvlJc w:val="left"/>
      <w:pPr>
        <w:ind w:left="1080" w:hanging="360"/>
      </w:pPr>
      <w:rPr>
        <w:rFonts w:eastAsiaTheme="minorHAns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FB461CE"/>
    <w:multiLevelType w:val="hybridMultilevel"/>
    <w:tmpl w:val="084215EA"/>
    <w:lvl w:ilvl="0" w:tplc="33E427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5969C4"/>
    <w:multiLevelType w:val="hybridMultilevel"/>
    <w:tmpl w:val="DDE65D3A"/>
    <w:lvl w:ilvl="0" w:tplc="09845186">
      <w:start w:val="1"/>
      <w:numFmt w:val="decimal"/>
      <w:lvlText w:val="%1."/>
      <w:lvlJc w:val="left"/>
      <w:pPr>
        <w:ind w:left="1004" w:hanging="360"/>
      </w:pPr>
      <w:rPr>
        <w:rFonts w:hint="default"/>
        <w:sz w:val="22"/>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37FA3E5A"/>
    <w:multiLevelType w:val="multilevel"/>
    <w:tmpl w:val="8EA83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111BD0"/>
    <w:multiLevelType w:val="hybridMultilevel"/>
    <w:tmpl w:val="529695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F300A5"/>
    <w:multiLevelType w:val="hybridMultilevel"/>
    <w:tmpl w:val="B1BC1EEC"/>
    <w:lvl w:ilvl="0" w:tplc="0409000F">
      <w:start w:val="1"/>
      <w:numFmt w:val="decimal"/>
      <w:lvlText w:val="%1."/>
      <w:lvlJc w:val="left"/>
      <w:pPr>
        <w:ind w:left="1364" w:hanging="360"/>
      </w:p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7" w15:restartNumberingAfterBreak="0">
    <w:nsid w:val="5BD53A3A"/>
    <w:multiLevelType w:val="hybridMultilevel"/>
    <w:tmpl w:val="B1BC1EEC"/>
    <w:lvl w:ilvl="0" w:tplc="0409000F">
      <w:start w:val="1"/>
      <w:numFmt w:val="decimal"/>
      <w:lvlText w:val="%1."/>
      <w:lvlJc w:val="left"/>
      <w:pPr>
        <w:ind w:left="1364" w:hanging="360"/>
      </w:p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8" w15:restartNumberingAfterBreak="0">
    <w:nsid w:val="5CE337E2"/>
    <w:multiLevelType w:val="hybridMultilevel"/>
    <w:tmpl w:val="65421AFC"/>
    <w:lvl w:ilvl="0" w:tplc="747ACD50">
      <w:start w:val="1"/>
      <w:numFmt w:val="decimal"/>
      <w:lvlText w:val="%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F03AED"/>
    <w:multiLevelType w:val="hybridMultilevel"/>
    <w:tmpl w:val="85A2204E"/>
    <w:lvl w:ilvl="0" w:tplc="C8BA0D14">
      <w:start w:val="2"/>
      <w:numFmt w:val="arabicAlpha"/>
      <w:pStyle w:val="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6"/>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 w:numId="8">
    <w:abstractNumId w:val="9"/>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A3C"/>
    <w:rsid w:val="00012B9D"/>
    <w:rsid w:val="00022BC1"/>
    <w:rsid w:val="00036BC7"/>
    <w:rsid w:val="0006312A"/>
    <w:rsid w:val="00075529"/>
    <w:rsid w:val="000A1013"/>
    <w:rsid w:val="000B2EA4"/>
    <w:rsid w:val="000B45B4"/>
    <w:rsid w:val="000B5F23"/>
    <w:rsid w:val="000B6577"/>
    <w:rsid w:val="000B6DCE"/>
    <w:rsid w:val="000C6D57"/>
    <w:rsid w:val="000F520E"/>
    <w:rsid w:val="000F6EB5"/>
    <w:rsid w:val="0014176E"/>
    <w:rsid w:val="00145EE9"/>
    <w:rsid w:val="00177559"/>
    <w:rsid w:val="0018429A"/>
    <w:rsid w:val="00191940"/>
    <w:rsid w:val="00196C61"/>
    <w:rsid w:val="001A2869"/>
    <w:rsid w:val="001B017F"/>
    <w:rsid w:val="001C3342"/>
    <w:rsid w:val="001D07F3"/>
    <w:rsid w:val="001D4BF3"/>
    <w:rsid w:val="001E2A45"/>
    <w:rsid w:val="001F47CC"/>
    <w:rsid w:val="00202201"/>
    <w:rsid w:val="0020241C"/>
    <w:rsid w:val="00220780"/>
    <w:rsid w:val="00231BCA"/>
    <w:rsid w:val="002337EB"/>
    <w:rsid w:val="00265FCF"/>
    <w:rsid w:val="002672B2"/>
    <w:rsid w:val="002733DA"/>
    <w:rsid w:val="00273772"/>
    <w:rsid w:val="002A33AB"/>
    <w:rsid w:val="002A66A4"/>
    <w:rsid w:val="002B7E8B"/>
    <w:rsid w:val="002C576B"/>
    <w:rsid w:val="002E3BC7"/>
    <w:rsid w:val="002F101D"/>
    <w:rsid w:val="002F159E"/>
    <w:rsid w:val="00301518"/>
    <w:rsid w:val="00310CF5"/>
    <w:rsid w:val="00315EE7"/>
    <w:rsid w:val="00327F99"/>
    <w:rsid w:val="00330B60"/>
    <w:rsid w:val="00331AC7"/>
    <w:rsid w:val="00350086"/>
    <w:rsid w:val="00353110"/>
    <w:rsid w:val="0035678E"/>
    <w:rsid w:val="0037775A"/>
    <w:rsid w:val="0038507D"/>
    <w:rsid w:val="00385B70"/>
    <w:rsid w:val="003A1143"/>
    <w:rsid w:val="003A2DD0"/>
    <w:rsid w:val="003A7188"/>
    <w:rsid w:val="003B40B1"/>
    <w:rsid w:val="003B5BFF"/>
    <w:rsid w:val="003C2A80"/>
    <w:rsid w:val="003D518E"/>
    <w:rsid w:val="003F2F2A"/>
    <w:rsid w:val="003F6FA8"/>
    <w:rsid w:val="004150E4"/>
    <w:rsid w:val="00440A2F"/>
    <w:rsid w:val="00446AF3"/>
    <w:rsid w:val="0045698D"/>
    <w:rsid w:val="00457535"/>
    <w:rsid w:val="00474EFA"/>
    <w:rsid w:val="004829E2"/>
    <w:rsid w:val="00482E41"/>
    <w:rsid w:val="00484EDA"/>
    <w:rsid w:val="00493132"/>
    <w:rsid w:val="004B5C73"/>
    <w:rsid w:val="004B66E3"/>
    <w:rsid w:val="004C06FA"/>
    <w:rsid w:val="004C3BBE"/>
    <w:rsid w:val="004E2B11"/>
    <w:rsid w:val="00502345"/>
    <w:rsid w:val="0051426F"/>
    <w:rsid w:val="00515B70"/>
    <w:rsid w:val="0052694E"/>
    <w:rsid w:val="0056629E"/>
    <w:rsid w:val="00571F25"/>
    <w:rsid w:val="0057482C"/>
    <w:rsid w:val="00586201"/>
    <w:rsid w:val="005A4D36"/>
    <w:rsid w:val="005B1F01"/>
    <w:rsid w:val="005C1CBF"/>
    <w:rsid w:val="005C5A99"/>
    <w:rsid w:val="005C7897"/>
    <w:rsid w:val="005F2EB6"/>
    <w:rsid w:val="005F4F1B"/>
    <w:rsid w:val="005F4FF4"/>
    <w:rsid w:val="00615817"/>
    <w:rsid w:val="00661D4D"/>
    <w:rsid w:val="006623E2"/>
    <w:rsid w:val="0066572B"/>
    <w:rsid w:val="006659DF"/>
    <w:rsid w:val="00667DE6"/>
    <w:rsid w:val="006A41E0"/>
    <w:rsid w:val="006B2DD1"/>
    <w:rsid w:val="006B56C6"/>
    <w:rsid w:val="006D2896"/>
    <w:rsid w:val="006D693F"/>
    <w:rsid w:val="006E0C66"/>
    <w:rsid w:val="006E2662"/>
    <w:rsid w:val="00710268"/>
    <w:rsid w:val="007103F3"/>
    <w:rsid w:val="0071294E"/>
    <w:rsid w:val="00734F6F"/>
    <w:rsid w:val="00737B3F"/>
    <w:rsid w:val="00737CFF"/>
    <w:rsid w:val="007426E7"/>
    <w:rsid w:val="00745A3C"/>
    <w:rsid w:val="00746F24"/>
    <w:rsid w:val="00763F94"/>
    <w:rsid w:val="00772BEE"/>
    <w:rsid w:val="00796D03"/>
    <w:rsid w:val="007A241F"/>
    <w:rsid w:val="007A5341"/>
    <w:rsid w:val="007B48B0"/>
    <w:rsid w:val="007B5A17"/>
    <w:rsid w:val="007C0948"/>
    <w:rsid w:val="007C10AB"/>
    <w:rsid w:val="007D42D2"/>
    <w:rsid w:val="007D458C"/>
    <w:rsid w:val="00812836"/>
    <w:rsid w:val="00815B21"/>
    <w:rsid w:val="008168B3"/>
    <w:rsid w:val="00821747"/>
    <w:rsid w:val="0082270F"/>
    <w:rsid w:val="00827F7C"/>
    <w:rsid w:val="008337C9"/>
    <w:rsid w:val="008340AF"/>
    <w:rsid w:val="008417B7"/>
    <w:rsid w:val="00851902"/>
    <w:rsid w:val="008627D8"/>
    <w:rsid w:val="00866B9C"/>
    <w:rsid w:val="00871ADA"/>
    <w:rsid w:val="00877430"/>
    <w:rsid w:val="00886E07"/>
    <w:rsid w:val="00892333"/>
    <w:rsid w:val="00896B64"/>
    <w:rsid w:val="008976A4"/>
    <w:rsid w:val="008B076F"/>
    <w:rsid w:val="008B37A2"/>
    <w:rsid w:val="008B5C18"/>
    <w:rsid w:val="008C35BD"/>
    <w:rsid w:val="008D0BEA"/>
    <w:rsid w:val="008D242B"/>
    <w:rsid w:val="008D2841"/>
    <w:rsid w:val="008D596C"/>
    <w:rsid w:val="008F1766"/>
    <w:rsid w:val="00913B67"/>
    <w:rsid w:val="009164A8"/>
    <w:rsid w:val="00920D67"/>
    <w:rsid w:val="0093175B"/>
    <w:rsid w:val="00931908"/>
    <w:rsid w:val="009360A6"/>
    <w:rsid w:val="00962249"/>
    <w:rsid w:val="00973D16"/>
    <w:rsid w:val="00975C6A"/>
    <w:rsid w:val="00983693"/>
    <w:rsid w:val="00985B3A"/>
    <w:rsid w:val="009A34A9"/>
    <w:rsid w:val="009A6A97"/>
    <w:rsid w:val="009C6051"/>
    <w:rsid w:val="009E136B"/>
    <w:rsid w:val="009F2870"/>
    <w:rsid w:val="00A01046"/>
    <w:rsid w:val="00A011AF"/>
    <w:rsid w:val="00A02365"/>
    <w:rsid w:val="00A25EC1"/>
    <w:rsid w:val="00A26C3F"/>
    <w:rsid w:val="00A34740"/>
    <w:rsid w:val="00A412FB"/>
    <w:rsid w:val="00A472D3"/>
    <w:rsid w:val="00A54C60"/>
    <w:rsid w:val="00A6238C"/>
    <w:rsid w:val="00A73DF4"/>
    <w:rsid w:val="00A75986"/>
    <w:rsid w:val="00A77AE4"/>
    <w:rsid w:val="00A828E9"/>
    <w:rsid w:val="00A850C5"/>
    <w:rsid w:val="00A9236C"/>
    <w:rsid w:val="00A95256"/>
    <w:rsid w:val="00AB431D"/>
    <w:rsid w:val="00AC5050"/>
    <w:rsid w:val="00AD6454"/>
    <w:rsid w:val="00AF6EBB"/>
    <w:rsid w:val="00B14363"/>
    <w:rsid w:val="00B24926"/>
    <w:rsid w:val="00B25BDC"/>
    <w:rsid w:val="00B369C5"/>
    <w:rsid w:val="00B44DE2"/>
    <w:rsid w:val="00B45745"/>
    <w:rsid w:val="00B527B1"/>
    <w:rsid w:val="00B572C9"/>
    <w:rsid w:val="00B634C1"/>
    <w:rsid w:val="00B67062"/>
    <w:rsid w:val="00B75A3A"/>
    <w:rsid w:val="00B77474"/>
    <w:rsid w:val="00B86884"/>
    <w:rsid w:val="00B87D12"/>
    <w:rsid w:val="00B902F0"/>
    <w:rsid w:val="00B924B9"/>
    <w:rsid w:val="00B94EE7"/>
    <w:rsid w:val="00BA6838"/>
    <w:rsid w:val="00BB5716"/>
    <w:rsid w:val="00BB7C66"/>
    <w:rsid w:val="00BC003C"/>
    <w:rsid w:val="00BD0E08"/>
    <w:rsid w:val="00C04DDD"/>
    <w:rsid w:val="00C1077F"/>
    <w:rsid w:val="00C1314E"/>
    <w:rsid w:val="00C24450"/>
    <w:rsid w:val="00C24C35"/>
    <w:rsid w:val="00C326CF"/>
    <w:rsid w:val="00C44CDA"/>
    <w:rsid w:val="00C52728"/>
    <w:rsid w:val="00C6219A"/>
    <w:rsid w:val="00C806FD"/>
    <w:rsid w:val="00C83B39"/>
    <w:rsid w:val="00C8716B"/>
    <w:rsid w:val="00C94AC8"/>
    <w:rsid w:val="00CA7E6A"/>
    <w:rsid w:val="00CD407A"/>
    <w:rsid w:val="00CE2901"/>
    <w:rsid w:val="00CF4563"/>
    <w:rsid w:val="00CF69B3"/>
    <w:rsid w:val="00D00894"/>
    <w:rsid w:val="00D05B80"/>
    <w:rsid w:val="00D125BB"/>
    <w:rsid w:val="00D13507"/>
    <w:rsid w:val="00D2194E"/>
    <w:rsid w:val="00D22700"/>
    <w:rsid w:val="00D23616"/>
    <w:rsid w:val="00D3044A"/>
    <w:rsid w:val="00D4014A"/>
    <w:rsid w:val="00D46B85"/>
    <w:rsid w:val="00D50D5C"/>
    <w:rsid w:val="00D511A2"/>
    <w:rsid w:val="00D544FC"/>
    <w:rsid w:val="00D66600"/>
    <w:rsid w:val="00D70CB1"/>
    <w:rsid w:val="00D80A79"/>
    <w:rsid w:val="00D80EB7"/>
    <w:rsid w:val="00D944ED"/>
    <w:rsid w:val="00D95486"/>
    <w:rsid w:val="00DA015F"/>
    <w:rsid w:val="00DA3D2F"/>
    <w:rsid w:val="00DA6450"/>
    <w:rsid w:val="00DC1ADA"/>
    <w:rsid w:val="00DD34AB"/>
    <w:rsid w:val="00DD4665"/>
    <w:rsid w:val="00DE38AB"/>
    <w:rsid w:val="00DF054A"/>
    <w:rsid w:val="00DF098C"/>
    <w:rsid w:val="00DF09E2"/>
    <w:rsid w:val="00DF119B"/>
    <w:rsid w:val="00DF4D5E"/>
    <w:rsid w:val="00E01D17"/>
    <w:rsid w:val="00E111CD"/>
    <w:rsid w:val="00E144B9"/>
    <w:rsid w:val="00E27518"/>
    <w:rsid w:val="00E3041A"/>
    <w:rsid w:val="00E30473"/>
    <w:rsid w:val="00E33A41"/>
    <w:rsid w:val="00E370D1"/>
    <w:rsid w:val="00E42020"/>
    <w:rsid w:val="00E6341B"/>
    <w:rsid w:val="00E657AE"/>
    <w:rsid w:val="00E67AE4"/>
    <w:rsid w:val="00E71D77"/>
    <w:rsid w:val="00E72CD1"/>
    <w:rsid w:val="00E73022"/>
    <w:rsid w:val="00E93BB6"/>
    <w:rsid w:val="00E94260"/>
    <w:rsid w:val="00EA260E"/>
    <w:rsid w:val="00EA7A92"/>
    <w:rsid w:val="00EC0611"/>
    <w:rsid w:val="00ED6E25"/>
    <w:rsid w:val="00ED74C5"/>
    <w:rsid w:val="00EE1A2F"/>
    <w:rsid w:val="00EE3B95"/>
    <w:rsid w:val="00EE6630"/>
    <w:rsid w:val="00F11C9B"/>
    <w:rsid w:val="00F25196"/>
    <w:rsid w:val="00F62136"/>
    <w:rsid w:val="00F664DD"/>
    <w:rsid w:val="00F66E13"/>
    <w:rsid w:val="00F77491"/>
    <w:rsid w:val="00F95D2D"/>
    <w:rsid w:val="00FA14F3"/>
    <w:rsid w:val="00FA3E66"/>
    <w:rsid w:val="00FB06C5"/>
    <w:rsid w:val="00FB2023"/>
    <w:rsid w:val="00FC5E49"/>
    <w:rsid w:val="00FD738A"/>
    <w:rsid w:val="00FE29D2"/>
    <w:rsid w:val="00FE466A"/>
    <w:rsid w:val="00FF0E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747C0"/>
  <w15:docId w15:val="{69EE0716-9C7B-4E86-927B-2FB5E923B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F69B3"/>
    <w:pPr>
      <w:keepNext/>
      <w:keepLines/>
      <w:spacing w:before="240" w:after="0" w:line="240" w:lineRule="auto"/>
      <w:jc w:val="right"/>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F69B3"/>
    <w:pPr>
      <w:keepNext/>
      <w:keepLines/>
      <w:spacing w:before="40" w:after="0"/>
      <w:outlineLvl w:val="1"/>
    </w:pPr>
    <w:rPr>
      <w:rFonts w:ascii="Times New Roman" w:eastAsiaTheme="majorEastAsia" w:hAnsi="Times New Roman" w:cs="B Lotus"/>
      <w:b/>
      <w:bCs/>
      <w:sz w:val="28"/>
      <w:szCs w:val="28"/>
    </w:rPr>
  </w:style>
  <w:style w:type="paragraph" w:styleId="Heading3">
    <w:name w:val="heading 3"/>
    <w:basedOn w:val="Normal"/>
    <w:next w:val="Normal"/>
    <w:link w:val="Heading3Char"/>
    <w:uiPriority w:val="9"/>
    <w:unhideWhenUsed/>
    <w:qFormat/>
    <w:rsid w:val="00CF69B3"/>
    <w:pPr>
      <w:keepNext/>
      <w:keepLines/>
      <w:spacing w:before="40" w:after="0" w:line="240" w:lineRule="auto"/>
      <w:jc w:val="right"/>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F69B3"/>
    <w:pPr>
      <w:keepNext/>
      <w:keepLines/>
      <w:spacing w:before="40" w:after="0" w:line="240" w:lineRule="auto"/>
      <w:jc w:val="right"/>
      <w:outlineLvl w:val="3"/>
    </w:pPr>
    <w:rPr>
      <w:rFonts w:asciiTheme="majorHAnsi" w:eastAsiaTheme="majorEastAsia" w:hAnsiTheme="majorHAnsi" w:cstheme="majorBidi"/>
      <w:i/>
      <w:iCs/>
      <w:color w:val="2E74B5" w:themeColor="accent1" w:themeShade="BF"/>
      <w:sz w:val="28"/>
      <w:szCs w:val="28"/>
    </w:rPr>
  </w:style>
  <w:style w:type="paragraph" w:styleId="Heading5">
    <w:name w:val="heading 5"/>
    <w:basedOn w:val="Normal"/>
    <w:next w:val="Normal"/>
    <w:link w:val="Heading5Char"/>
    <w:uiPriority w:val="9"/>
    <w:semiHidden/>
    <w:unhideWhenUsed/>
    <w:qFormat/>
    <w:rsid w:val="00CF69B3"/>
    <w:pPr>
      <w:keepNext/>
      <w:keepLines/>
      <w:spacing w:before="200" w:after="0" w:line="276" w:lineRule="auto"/>
      <w:ind w:left="1008" w:hanging="1008"/>
      <w:outlineLvl w:val="4"/>
    </w:pPr>
    <w:rPr>
      <w:rFonts w:ascii="Cambria" w:eastAsia="Times New Roman" w:hAnsi="Cambria" w:cs="Times New Roman"/>
      <w:color w:val="243F60"/>
      <w:sz w:val="20"/>
      <w:szCs w:val="20"/>
      <w:lang w:val="x-none" w:eastAsia="x-none" w:bidi="fa-IR"/>
    </w:rPr>
  </w:style>
  <w:style w:type="paragraph" w:styleId="Heading6">
    <w:name w:val="heading 6"/>
    <w:basedOn w:val="Normal"/>
    <w:next w:val="Normal"/>
    <w:link w:val="Heading6Char"/>
    <w:uiPriority w:val="9"/>
    <w:semiHidden/>
    <w:unhideWhenUsed/>
    <w:qFormat/>
    <w:rsid w:val="00CF69B3"/>
    <w:pPr>
      <w:keepNext/>
      <w:keepLines/>
      <w:spacing w:before="200" w:after="0" w:line="276" w:lineRule="auto"/>
      <w:ind w:left="1152" w:hanging="1152"/>
      <w:outlineLvl w:val="5"/>
    </w:pPr>
    <w:rPr>
      <w:rFonts w:ascii="Cambria" w:eastAsia="Times New Roman" w:hAnsi="Cambria" w:cs="Times New Roman"/>
      <w:i/>
      <w:iCs/>
      <w:color w:val="243F60"/>
      <w:sz w:val="20"/>
      <w:szCs w:val="20"/>
      <w:lang w:val="x-none" w:eastAsia="x-none" w:bidi="fa-IR"/>
    </w:rPr>
  </w:style>
  <w:style w:type="paragraph" w:styleId="Heading7">
    <w:name w:val="heading 7"/>
    <w:basedOn w:val="Normal"/>
    <w:next w:val="Normal"/>
    <w:link w:val="Heading7Char"/>
    <w:uiPriority w:val="9"/>
    <w:semiHidden/>
    <w:unhideWhenUsed/>
    <w:qFormat/>
    <w:rsid w:val="00CF69B3"/>
    <w:pPr>
      <w:spacing w:before="240" w:after="60" w:line="240" w:lineRule="auto"/>
      <w:outlineLvl w:val="6"/>
    </w:pPr>
    <w:rPr>
      <w:rFonts w:ascii="Calibri" w:eastAsia="Times New Roman" w:hAnsi="Calibri" w:cs="Times New Roman"/>
      <w:sz w:val="24"/>
      <w:szCs w:val="24"/>
      <w:lang w:val="x-none" w:eastAsia="x-none" w:bidi="fa-IR"/>
    </w:rPr>
  </w:style>
  <w:style w:type="paragraph" w:styleId="Heading8">
    <w:name w:val="heading 8"/>
    <w:basedOn w:val="Normal"/>
    <w:next w:val="Normal"/>
    <w:link w:val="Heading8Char"/>
    <w:uiPriority w:val="9"/>
    <w:semiHidden/>
    <w:unhideWhenUsed/>
    <w:qFormat/>
    <w:rsid w:val="00CF69B3"/>
    <w:pPr>
      <w:keepNext/>
      <w:keepLines/>
      <w:spacing w:before="200" w:after="0" w:line="276" w:lineRule="auto"/>
      <w:ind w:left="1440" w:hanging="1440"/>
      <w:outlineLvl w:val="7"/>
    </w:pPr>
    <w:rPr>
      <w:rFonts w:ascii="Cambria" w:eastAsia="Times New Roman" w:hAnsi="Cambria" w:cs="Times New Roman"/>
      <w:color w:val="404040"/>
      <w:sz w:val="20"/>
      <w:szCs w:val="20"/>
      <w:lang w:val="x-none" w:eastAsia="x-none" w:bidi="fa-IR"/>
    </w:rPr>
  </w:style>
  <w:style w:type="paragraph" w:styleId="Heading9">
    <w:name w:val="heading 9"/>
    <w:basedOn w:val="Normal"/>
    <w:next w:val="Normal"/>
    <w:link w:val="Heading9Char"/>
    <w:uiPriority w:val="9"/>
    <w:semiHidden/>
    <w:unhideWhenUsed/>
    <w:qFormat/>
    <w:rsid w:val="00CF69B3"/>
    <w:pPr>
      <w:keepNext/>
      <w:keepLines/>
      <w:spacing w:before="200" w:after="0" w:line="276" w:lineRule="auto"/>
      <w:ind w:left="1584" w:hanging="1584"/>
      <w:outlineLvl w:val="8"/>
    </w:pPr>
    <w:rPr>
      <w:rFonts w:ascii="Cambria" w:eastAsia="Times New Roman" w:hAnsi="Cambria" w:cs="Times New Roman"/>
      <w:i/>
      <w:iCs/>
      <w:color w:val="404040"/>
      <w:sz w:val="20"/>
      <w:szCs w:val="20"/>
      <w:lang w:val="x-none" w:eastAsia="x-none"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24kjd">
    <w:name w:val="e24kjd"/>
    <w:rsid w:val="00EE3B95"/>
  </w:style>
  <w:style w:type="character" w:styleId="Strong">
    <w:name w:val="Strong"/>
    <w:uiPriority w:val="22"/>
    <w:qFormat/>
    <w:rsid w:val="00EE3B95"/>
    <w:rPr>
      <w:b/>
      <w:bCs/>
    </w:rPr>
  </w:style>
  <w:style w:type="paragraph" w:styleId="ListParagraph">
    <w:name w:val="List Paragraph"/>
    <w:basedOn w:val="Normal"/>
    <w:uiPriority w:val="34"/>
    <w:qFormat/>
    <w:rsid w:val="00EE3B95"/>
    <w:pPr>
      <w:spacing w:after="0" w:line="240" w:lineRule="auto"/>
      <w:ind w:left="720"/>
      <w:contextualSpacing/>
    </w:pPr>
    <w:rPr>
      <w:rFonts w:ascii="Times New Roman" w:eastAsia="Calibri" w:hAnsi="Times New Roman" w:cs="Traffic"/>
      <w:sz w:val="28"/>
      <w:szCs w:val="28"/>
      <w:lang w:eastAsia="zh-CN"/>
    </w:rPr>
  </w:style>
  <w:style w:type="character" w:styleId="LineNumber">
    <w:name w:val="line number"/>
    <w:basedOn w:val="DefaultParagraphFont"/>
    <w:uiPriority w:val="99"/>
    <w:semiHidden/>
    <w:unhideWhenUsed/>
    <w:rsid w:val="00C326CF"/>
  </w:style>
  <w:style w:type="character" w:styleId="CommentReference">
    <w:name w:val="annotation reference"/>
    <w:basedOn w:val="DefaultParagraphFont"/>
    <w:unhideWhenUsed/>
    <w:rsid w:val="00B67062"/>
    <w:rPr>
      <w:sz w:val="16"/>
      <w:szCs w:val="16"/>
    </w:rPr>
  </w:style>
  <w:style w:type="paragraph" w:styleId="CommentText">
    <w:name w:val="annotation text"/>
    <w:basedOn w:val="Normal"/>
    <w:link w:val="CommentTextChar"/>
    <w:unhideWhenUsed/>
    <w:rsid w:val="00B67062"/>
    <w:pPr>
      <w:spacing w:line="240" w:lineRule="auto"/>
    </w:pPr>
    <w:rPr>
      <w:sz w:val="20"/>
      <w:szCs w:val="20"/>
    </w:rPr>
  </w:style>
  <w:style w:type="character" w:customStyle="1" w:styleId="CommentTextChar">
    <w:name w:val="Comment Text Char"/>
    <w:basedOn w:val="DefaultParagraphFont"/>
    <w:link w:val="CommentText"/>
    <w:rsid w:val="00B67062"/>
    <w:rPr>
      <w:sz w:val="20"/>
      <w:szCs w:val="20"/>
    </w:rPr>
  </w:style>
  <w:style w:type="paragraph" w:styleId="CommentSubject">
    <w:name w:val="annotation subject"/>
    <w:basedOn w:val="CommentText"/>
    <w:next w:val="CommentText"/>
    <w:link w:val="CommentSubjectChar"/>
    <w:unhideWhenUsed/>
    <w:rsid w:val="00B67062"/>
    <w:rPr>
      <w:b/>
      <w:bCs/>
    </w:rPr>
  </w:style>
  <w:style w:type="character" w:customStyle="1" w:styleId="CommentSubjectChar">
    <w:name w:val="Comment Subject Char"/>
    <w:basedOn w:val="CommentTextChar"/>
    <w:link w:val="CommentSubject"/>
    <w:rsid w:val="00B67062"/>
    <w:rPr>
      <w:b/>
      <w:bCs/>
      <w:sz w:val="20"/>
      <w:szCs w:val="20"/>
    </w:rPr>
  </w:style>
  <w:style w:type="paragraph" w:styleId="BalloonText">
    <w:name w:val="Balloon Text"/>
    <w:basedOn w:val="Normal"/>
    <w:link w:val="BalloonTextChar"/>
    <w:uiPriority w:val="99"/>
    <w:unhideWhenUsed/>
    <w:rsid w:val="00B670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B67062"/>
    <w:rPr>
      <w:rFonts w:ascii="Segoe UI" w:hAnsi="Segoe UI" w:cs="Segoe UI"/>
      <w:sz w:val="18"/>
      <w:szCs w:val="18"/>
    </w:rPr>
  </w:style>
  <w:style w:type="paragraph" w:styleId="Revision">
    <w:name w:val="Revision"/>
    <w:hidden/>
    <w:uiPriority w:val="99"/>
    <w:semiHidden/>
    <w:rsid w:val="0093175B"/>
    <w:pPr>
      <w:spacing w:after="0" w:line="240" w:lineRule="auto"/>
    </w:pPr>
  </w:style>
  <w:style w:type="character" w:styleId="Hyperlink">
    <w:name w:val="Hyperlink"/>
    <w:basedOn w:val="DefaultParagraphFont"/>
    <w:uiPriority w:val="99"/>
    <w:unhideWhenUsed/>
    <w:rsid w:val="00763F94"/>
    <w:rPr>
      <w:color w:val="0000FF"/>
      <w:u w:val="single"/>
    </w:rPr>
  </w:style>
  <w:style w:type="character" w:styleId="Emphasis">
    <w:name w:val="Emphasis"/>
    <w:basedOn w:val="DefaultParagraphFont"/>
    <w:uiPriority w:val="20"/>
    <w:qFormat/>
    <w:rsid w:val="005C7897"/>
    <w:rPr>
      <w:i/>
      <w:iCs/>
    </w:rPr>
  </w:style>
  <w:style w:type="table" w:styleId="TableGrid">
    <w:name w:val="Table Grid"/>
    <w:basedOn w:val="TableNormal"/>
    <w:uiPriority w:val="39"/>
    <w:rsid w:val="00327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نرمال"/>
    <w:basedOn w:val="Normal"/>
    <w:link w:val="Char"/>
    <w:qFormat/>
    <w:rsid w:val="00DF09E2"/>
    <w:pPr>
      <w:bidi/>
      <w:spacing w:line="240" w:lineRule="auto"/>
      <w:jc w:val="both"/>
    </w:pPr>
    <w:rPr>
      <w:rFonts w:ascii="Times New Roman" w:hAnsi="Times New Roman" w:cs="B Lotus"/>
      <w:sz w:val="28"/>
      <w:szCs w:val="28"/>
    </w:rPr>
  </w:style>
  <w:style w:type="character" w:customStyle="1" w:styleId="Char">
    <w:name w:val="نرمال Char"/>
    <w:basedOn w:val="DefaultParagraphFont"/>
    <w:link w:val="a0"/>
    <w:rsid w:val="00DF09E2"/>
    <w:rPr>
      <w:rFonts w:ascii="Times New Roman" w:hAnsi="Times New Roman" w:cs="B Lotus"/>
      <w:sz w:val="28"/>
      <w:szCs w:val="28"/>
    </w:rPr>
  </w:style>
  <w:style w:type="character" w:customStyle="1" w:styleId="Heading1Char">
    <w:name w:val="Heading 1 Char"/>
    <w:basedOn w:val="DefaultParagraphFont"/>
    <w:link w:val="Heading1"/>
    <w:uiPriority w:val="9"/>
    <w:rsid w:val="00CF69B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F69B3"/>
    <w:rPr>
      <w:rFonts w:ascii="Times New Roman" w:eastAsiaTheme="majorEastAsia" w:hAnsi="Times New Roman" w:cs="B Lotus"/>
      <w:b/>
      <w:bCs/>
      <w:sz w:val="28"/>
      <w:szCs w:val="28"/>
    </w:rPr>
  </w:style>
  <w:style w:type="character" w:customStyle="1" w:styleId="Heading3Char">
    <w:name w:val="Heading 3 Char"/>
    <w:basedOn w:val="DefaultParagraphFont"/>
    <w:link w:val="Heading3"/>
    <w:uiPriority w:val="9"/>
    <w:rsid w:val="00CF69B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CF69B3"/>
    <w:rPr>
      <w:rFonts w:asciiTheme="majorHAnsi" w:eastAsiaTheme="majorEastAsia" w:hAnsiTheme="majorHAnsi" w:cstheme="majorBidi"/>
      <w:i/>
      <w:iCs/>
      <w:color w:val="2E74B5" w:themeColor="accent1" w:themeShade="BF"/>
      <w:sz w:val="28"/>
      <w:szCs w:val="28"/>
    </w:rPr>
  </w:style>
  <w:style w:type="character" w:customStyle="1" w:styleId="Heading5Char">
    <w:name w:val="Heading 5 Char"/>
    <w:basedOn w:val="DefaultParagraphFont"/>
    <w:link w:val="Heading5"/>
    <w:uiPriority w:val="9"/>
    <w:semiHidden/>
    <w:rsid w:val="00CF69B3"/>
    <w:rPr>
      <w:rFonts w:ascii="Cambria" w:eastAsia="Times New Roman" w:hAnsi="Cambria" w:cs="Times New Roman"/>
      <w:color w:val="243F60"/>
      <w:sz w:val="20"/>
      <w:szCs w:val="20"/>
      <w:lang w:val="x-none" w:eastAsia="x-none" w:bidi="fa-IR"/>
    </w:rPr>
  </w:style>
  <w:style w:type="character" w:customStyle="1" w:styleId="Heading6Char">
    <w:name w:val="Heading 6 Char"/>
    <w:basedOn w:val="DefaultParagraphFont"/>
    <w:link w:val="Heading6"/>
    <w:uiPriority w:val="9"/>
    <w:semiHidden/>
    <w:rsid w:val="00CF69B3"/>
    <w:rPr>
      <w:rFonts w:ascii="Cambria" w:eastAsia="Times New Roman" w:hAnsi="Cambria" w:cs="Times New Roman"/>
      <w:i/>
      <w:iCs/>
      <w:color w:val="243F60"/>
      <w:sz w:val="20"/>
      <w:szCs w:val="20"/>
      <w:lang w:val="x-none" w:eastAsia="x-none" w:bidi="fa-IR"/>
    </w:rPr>
  </w:style>
  <w:style w:type="character" w:customStyle="1" w:styleId="Heading7Char">
    <w:name w:val="Heading 7 Char"/>
    <w:basedOn w:val="DefaultParagraphFont"/>
    <w:link w:val="Heading7"/>
    <w:uiPriority w:val="9"/>
    <w:semiHidden/>
    <w:rsid w:val="00CF69B3"/>
    <w:rPr>
      <w:rFonts w:ascii="Calibri" w:eastAsia="Times New Roman" w:hAnsi="Calibri" w:cs="Times New Roman"/>
      <w:sz w:val="24"/>
      <w:szCs w:val="24"/>
      <w:lang w:val="x-none" w:eastAsia="x-none" w:bidi="fa-IR"/>
    </w:rPr>
  </w:style>
  <w:style w:type="character" w:customStyle="1" w:styleId="Heading8Char">
    <w:name w:val="Heading 8 Char"/>
    <w:basedOn w:val="DefaultParagraphFont"/>
    <w:link w:val="Heading8"/>
    <w:uiPriority w:val="9"/>
    <w:semiHidden/>
    <w:rsid w:val="00CF69B3"/>
    <w:rPr>
      <w:rFonts w:ascii="Cambria" w:eastAsia="Times New Roman" w:hAnsi="Cambria" w:cs="Times New Roman"/>
      <w:color w:val="404040"/>
      <w:sz w:val="20"/>
      <w:szCs w:val="20"/>
      <w:lang w:val="x-none" w:eastAsia="x-none" w:bidi="fa-IR"/>
    </w:rPr>
  </w:style>
  <w:style w:type="character" w:customStyle="1" w:styleId="Heading9Char">
    <w:name w:val="Heading 9 Char"/>
    <w:basedOn w:val="DefaultParagraphFont"/>
    <w:link w:val="Heading9"/>
    <w:uiPriority w:val="9"/>
    <w:semiHidden/>
    <w:rsid w:val="00CF69B3"/>
    <w:rPr>
      <w:rFonts w:ascii="Cambria" w:eastAsia="Times New Roman" w:hAnsi="Cambria" w:cs="Times New Roman"/>
      <w:i/>
      <w:iCs/>
      <w:color w:val="404040"/>
      <w:sz w:val="20"/>
      <w:szCs w:val="20"/>
      <w:lang w:val="x-none" w:eastAsia="x-none" w:bidi="fa-IR"/>
    </w:rPr>
  </w:style>
  <w:style w:type="paragraph" w:styleId="Title">
    <w:name w:val="Title"/>
    <w:basedOn w:val="Normal"/>
    <w:next w:val="Normal"/>
    <w:link w:val="TitleChar"/>
    <w:uiPriority w:val="10"/>
    <w:qFormat/>
    <w:rsid w:val="00CF69B3"/>
    <w:pPr>
      <w:spacing w:after="0" w:line="240" w:lineRule="auto"/>
      <w:contextualSpacing/>
      <w:jc w:val="center"/>
    </w:pPr>
    <w:rPr>
      <w:rFonts w:ascii="B Lotus" w:eastAsiaTheme="majorEastAsia" w:hAnsi="B Lotus" w:cs="B Lotus"/>
      <w:spacing w:val="-10"/>
      <w:kern w:val="28"/>
      <w:sz w:val="144"/>
      <w:szCs w:val="144"/>
    </w:rPr>
  </w:style>
  <w:style w:type="character" w:customStyle="1" w:styleId="TitleChar">
    <w:name w:val="Title Char"/>
    <w:basedOn w:val="DefaultParagraphFont"/>
    <w:link w:val="Title"/>
    <w:uiPriority w:val="10"/>
    <w:rsid w:val="00CF69B3"/>
    <w:rPr>
      <w:rFonts w:ascii="B Lotus" w:eastAsiaTheme="majorEastAsia" w:hAnsi="B Lotus" w:cs="B Lotus"/>
      <w:spacing w:val="-10"/>
      <w:kern w:val="28"/>
      <w:sz w:val="144"/>
      <w:szCs w:val="144"/>
    </w:rPr>
  </w:style>
  <w:style w:type="paragraph" w:customStyle="1" w:styleId="1">
    <w:name w:val="تیتر 1"/>
    <w:basedOn w:val="Normal"/>
    <w:link w:val="1Char"/>
    <w:qFormat/>
    <w:rsid w:val="00CF69B3"/>
    <w:pPr>
      <w:bidi/>
      <w:spacing w:line="240" w:lineRule="auto"/>
    </w:pPr>
    <w:rPr>
      <w:rFonts w:ascii="Times New Roman" w:hAnsi="Times New Roman" w:cs="B Lotus"/>
      <w:b/>
      <w:bCs/>
      <w:sz w:val="28"/>
      <w:szCs w:val="28"/>
      <w:lang w:bidi="fa-IR"/>
    </w:rPr>
  </w:style>
  <w:style w:type="character" w:customStyle="1" w:styleId="1Char">
    <w:name w:val="تیتر 1 Char"/>
    <w:basedOn w:val="DefaultParagraphFont"/>
    <w:link w:val="1"/>
    <w:rsid w:val="00CF69B3"/>
    <w:rPr>
      <w:rFonts w:ascii="Times New Roman" w:hAnsi="Times New Roman" w:cs="B Lotus"/>
      <w:b/>
      <w:bCs/>
      <w:sz w:val="28"/>
      <w:szCs w:val="28"/>
      <w:lang w:bidi="fa-IR"/>
    </w:rPr>
  </w:style>
  <w:style w:type="paragraph" w:customStyle="1" w:styleId="EndNoteBibliographyTitle">
    <w:name w:val="EndNote Bibliography Title"/>
    <w:basedOn w:val="Normal"/>
    <w:link w:val="EndNoteBibliographyTitleChar"/>
    <w:rsid w:val="00CF69B3"/>
    <w:pPr>
      <w:spacing w:after="0" w:line="240" w:lineRule="auto"/>
      <w:jc w:val="center"/>
    </w:pPr>
    <w:rPr>
      <w:rFonts w:ascii="Times New Roman" w:hAnsi="Times New Roman" w:cs="Times New Roman"/>
      <w:noProof/>
      <w:sz w:val="28"/>
      <w:szCs w:val="28"/>
      <w:lang w:bidi="fa-IR"/>
    </w:rPr>
  </w:style>
  <w:style w:type="character" w:customStyle="1" w:styleId="EndNoteBibliographyTitleChar">
    <w:name w:val="EndNote Bibliography Title Char"/>
    <w:basedOn w:val="1Char"/>
    <w:link w:val="EndNoteBibliographyTitle"/>
    <w:rsid w:val="00CF69B3"/>
    <w:rPr>
      <w:rFonts w:ascii="Times New Roman" w:hAnsi="Times New Roman" w:cs="Times New Roman"/>
      <w:b w:val="0"/>
      <w:bCs w:val="0"/>
      <w:noProof/>
      <w:sz w:val="28"/>
      <w:szCs w:val="28"/>
      <w:lang w:bidi="fa-IR"/>
    </w:rPr>
  </w:style>
  <w:style w:type="paragraph" w:customStyle="1" w:styleId="EndNoteBibliography">
    <w:name w:val="EndNote Bibliography"/>
    <w:basedOn w:val="Normal"/>
    <w:link w:val="EndNoteBibliographyChar"/>
    <w:rsid w:val="00CF69B3"/>
    <w:pPr>
      <w:spacing w:line="240" w:lineRule="auto"/>
      <w:jc w:val="both"/>
    </w:pPr>
    <w:rPr>
      <w:rFonts w:ascii="Times New Roman" w:hAnsi="Times New Roman" w:cs="Times New Roman"/>
      <w:noProof/>
      <w:sz w:val="28"/>
      <w:szCs w:val="28"/>
      <w:lang w:bidi="fa-IR"/>
    </w:rPr>
  </w:style>
  <w:style w:type="character" w:customStyle="1" w:styleId="EndNoteBibliographyChar">
    <w:name w:val="EndNote Bibliography Char"/>
    <w:basedOn w:val="1Char"/>
    <w:link w:val="EndNoteBibliography"/>
    <w:rsid w:val="00CF69B3"/>
    <w:rPr>
      <w:rFonts w:ascii="Times New Roman" w:hAnsi="Times New Roman" w:cs="Times New Roman"/>
      <w:b w:val="0"/>
      <w:bCs w:val="0"/>
      <w:noProof/>
      <w:sz w:val="28"/>
      <w:szCs w:val="28"/>
      <w:lang w:bidi="fa-IR"/>
    </w:rPr>
  </w:style>
  <w:style w:type="paragraph" w:styleId="FootnoteText">
    <w:name w:val="footnote text"/>
    <w:aliases w:val="پاورقی,Char,Footnote Text فارسي,Char Char Char Char,Char Char Char Char Char"/>
    <w:basedOn w:val="Normal"/>
    <w:link w:val="FootnoteTextChar"/>
    <w:unhideWhenUsed/>
    <w:qFormat/>
    <w:rsid w:val="00CF69B3"/>
    <w:pPr>
      <w:spacing w:after="0" w:line="240" w:lineRule="auto"/>
      <w:jc w:val="right"/>
    </w:pPr>
    <w:rPr>
      <w:rFonts w:ascii="B Lotus" w:hAnsi="B Lotus" w:cs="Times New Roman"/>
      <w:sz w:val="20"/>
      <w:szCs w:val="20"/>
    </w:rPr>
  </w:style>
  <w:style w:type="character" w:customStyle="1" w:styleId="FootnoteTextChar">
    <w:name w:val="Footnote Text Char"/>
    <w:aliases w:val="پاورقی Char,Char Char,Footnote Text فارسي Char,Char Char Char Char Char1,Char Char Char Char Char Char"/>
    <w:basedOn w:val="DefaultParagraphFont"/>
    <w:link w:val="FootnoteText"/>
    <w:rsid w:val="00CF69B3"/>
    <w:rPr>
      <w:rFonts w:ascii="B Lotus" w:hAnsi="B Lotus" w:cs="Times New Roman"/>
      <w:sz w:val="20"/>
      <w:szCs w:val="20"/>
    </w:rPr>
  </w:style>
  <w:style w:type="character" w:styleId="FootnoteReference">
    <w:name w:val="footnote reference"/>
    <w:aliases w:val="شماره زيرنويس"/>
    <w:basedOn w:val="DefaultParagraphFont"/>
    <w:unhideWhenUsed/>
    <w:rsid w:val="00CF69B3"/>
    <w:rPr>
      <w:vertAlign w:val="superscript"/>
    </w:rPr>
  </w:style>
  <w:style w:type="character" w:customStyle="1" w:styleId="viiyi">
    <w:name w:val="viiyi"/>
    <w:basedOn w:val="DefaultParagraphFont"/>
    <w:rsid w:val="00CF69B3"/>
  </w:style>
  <w:style w:type="character" w:customStyle="1" w:styleId="jlqj4b">
    <w:name w:val="jlqj4b"/>
    <w:basedOn w:val="DefaultParagraphFont"/>
    <w:rsid w:val="00CF69B3"/>
  </w:style>
  <w:style w:type="character" w:customStyle="1" w:styleId="acopre">
    <w:name w:val="acopre"/>
    <w:basedOn w:val="DefaultParagraphFont"/>
    <w:rsid w:val="00CF69B3"/>
  </w:style>
  <w:style w:type="paragraph" w:customStyle="1" w:styleId="a1">
    <w:name w:val="شکل ها"/>
    <w:basedOn w:val="1"/>
    <w:link w:val="Char0"/>
    <w:qFormat/>
    <w:rsid w:val="00CF69B3"/>
    <w:pPr>
      <w:jc w:val="both"/>
    </w:pPr>
    <w:rPr>
      <w:b w:val="0"/>
      <w:bCs w:val="0"/>
    </w:rPr>
  </w:style>
  <w:style w:type="character" w:customStyle="1" w:styleId="Char0">
    <w:name w:val="شکل ها Char"/>
    <w:basedOn w:val="1Char"/>
    <w:link w:val="a1"/>
    <w:rsid w:val="00CF69B3"/>
    <w:rPr>
      <w:rFonts w:ascii="Times New Roman" w:hAnsi="Times New Roman" w:cs="B Lotus"/>
      <w:b w:val="0"/>
      <w:bCs w:val="0"/>
      <w:sz w:val="28"/>
      <w:szCs w:val="28"/>
      <w:lang w:bidi="fa-IR"/>
    </w:rPr>
  </w:style>
  <w:style w:type="paragraph" w:customStyle="1" w:styleId="2">
    <w:name w:val="تیتر 2"/>
    <w:basedOn w:val="1"/>
    <w:link w:val="2Char"/>
    <w:qFormat/>
    <w:rsid w:val="00CF69B3"/>
  </w:style>
  <w:style w:type="character" w:customStyle="1" w:styleId="2Char">
    <w:name w:val="تیتر 2 Char"/>
    <w:basedOn w:val="1Char"/>
    <w:link w:val="2"/>
    <w:rsid w:val="00CF69B3"/>
    <w:rPr>
      <w:rFonts w:ascii="Times New Roman" w:hAnsi="Times New Roman" w:cs="B Lotus"/>
      <w:b/>
      <w:bCs/>
      <w:sz w:val="28"/>
      <w:szCs w:val="28"/>
      <w:lang w:bidi="fa-IR"/>
    </w:rPr>
  </w:style>
  <w:style w:type="paragraph" w:customStyle="1" w:styleId="a2">
    <w:name w:val="متن شکل"/>
    <w:basedOn w:val="Normal"/>
    <w:link w:val="Char1"/>
    <w:qFormat/>
    <w:rsid w:val="00CF69B3"/>
    <w:pPr>
      <w:bidi/>
      <w:spacing w:line="240" w:lineRule="auto"/>
      <w:jc w:val="both"/>
    </w:pPr>
    <w:rPr>
      <w:rFonts w:ascii="Times New Roman" w:hAnsi="Times New Roman" w:cs="B Lotus"/>
    </w:rPr>
  </w:style>
  <w:style w:type="character" w:customStyle="1" w:styleId="Char1">
    <w:name w:val="متن شکل Char"/>
    <w:basedOn w:val="DefaultParagraphFont"/>
    <w:link w:val="a2"/>
    <w:rsid w:val="00CF69B3"/>
    <w:rPr>
      <w:rFonts w:ascii="Times New Roman" w:hAnsi="Times New Roman" w:cs="B Lotus"/>
    </w:rPr>
  </w:style>
  <w:style w:type="paragraph" w:styleId="Header">
    <w:name w:val="header"/>
    <w:basedOn w:val="Normal"/>
    <w:link w:val="HeaderChar"/>
    <w:uiPriority w:val="99"/>
    <w:unhideWhenUsed/>
    <w:rsid w:val="00CF69B3"/>
    <w:pPr>
      <w:tabs>
        <w:tab w:val="center" w:pos="4680"/>
        <w:tab w:val="right" w:pos="9360"/>
      </w:tabs>
      <w:spacing w:after="0" w:line="240" w:lineRule="auto"/>
      <w:jc w:val="right"/>
    </w:pPr>
    <w:rPr>
      <w:rFonts w:ascii="B Lotus" w:hAnsi="B Lotus" w:cs="Times New Roman"/>
      <w:sz w:val="28"/>
      <w:szCs w:val="28"/>
    </w:rPr>
  </w:style>
  <w:style w:type="character" w:customStyle="1" w:styleId="HeaderChar">
    <w:name w:val="Header Char"/>
    <w:basedOn w:val="DefaultParagraphFont"/>
    <w:link w:val="Header"/>
    <w:uiPriority w:val="99"/>
    <w:rsid w:val="00CF69B3"/>
    <w:rPr>
      <w:rFonts w:ascii="B Lotus" w:hAnsi="B Lotus" w:cs="Times New Roman"/>
      <w:sz w:val="28"/>
      <w:szCs w:val="28"/>
    </w:rPr>
  </w:style>
  <w:style w:type="paragraph" w:styleId="Footer">
    <w:name w:val="footer"/>
    <w:basedOn w:val="Normal"/>
    <w:link w:val="FooterChar"/>
    <w:uiPriority w:val="99"/>
    <w:unhideWhenUsed/>
    <w:rsid w:val="00CF69B3"/>
    <w:pPr>
      <w:tabs>
        <w:tab w:val="center" w:pos="4680"/>
        <w:tab w:val="right" w:pos="9360"/>
      </w:tabs>
      <w:spacing w:after="0" w:line="240" w:lineRule="auto"/>
      <w:jc w:val="right"/>
    </w:pPr>
    <w:rPr>
      <w:rFonts w:ascii="B Lotus" w:hAnsi="B Lotus" w:cs="Times New Roman"/>
      <w:sz w:val="28"/>
      <w:szCs w:val="28"/>
    </w:rPr>
  </w:style>
  <w:style w:type="character" w:customStyle="1" w:styleId="FooterChar">
    <w:name w:val="Footer Char"/>
    <w:basedOn w:val="DefaultParagraphFont"/>
    <w:link w:val="Footer"/>
    <w:uiPriority w:val="99"/>
    <w:rsid w:val="00CF69B3"/>
    <w:rPr>
      <w:rFonts w:ascii="B Lotus" w:hAnsi="B Lotus" w:cs="Times New Roman"/>
      <w:sz w:val="28"/>
      <w:szCs w:val="28"/>
    </w:rPr>
  </w:style>
  <w:style w:type="paragraph" w:customStyle="1" w:styleId="Style1">
    <w:name w:val="Style1"/>
    <w:basedOn w:val="Caption"/>
    <w:qFormat/>
    <w:rsid w:val="00CF69B3"/>
    <w:pPr>
      <w:bidi/>
      <w:jc w:val="left"/>
    </w:pPr>
    <w:rPr>
      <w:rFonts w:ascii="Times New Roman" w:hAnsi="Times New Roman" w:cs="B Lotus"/>
      <w:i w:val="0"/>
      <w:iCs w:val="0"/>
      <w:color w:val="000000" w:themeColor="text1"/>
      <w:sz w:val="22"/>
      <w:szCs w:val="22"/>
    </w:rPr>
  </w:style>
  <w:style w:type="paragraph" w:styleId="Caption">
    <w:name w:val="caption"/>
    <w:basedOn w:val="Normal"/>
    <w:next w:val="Normal"/>
    <w:uiPriority w:val="35"/>
    <w:unhideWhenUsed/>
    <w:qFormat/>
    <w:rsid w:val="00CF69B3"/>
    <w:pPr>
      <w:spacing w:after="200" w:line="240" w:lineRule="auto"/>
      <w:jc w:val="right"/>
    </w:pPr>
    <w:rPr>
      <w:rFonts w:ascii="B Lotus" w:hAnsi="B Lotus" w:cs="Times New Roman"/>
      <w:i/>
      <w:iCs/>
      <w:color w:val="44546A" w:themeColor="text2"/>
      <w:sz w:val="18"/>
      <w:szCs w:val="18"/>
    </w:rPr>
  </w:style>
  <w:style w:type="paragraph" w:customStyle="1" w:styleId="a3">
    <w:name w:val="اشکال"/>
    <w:basedOn w:val="Normal"/>
    <w:qFormat/>
    <w:rsid w:val="00CF69B3"/>
    <w:pPr>
      <w:jc w:val="center"/>
    </w:pPr>
    <w:rPr>
      <w:rFonts w:ascii="Times New Roman" w:hAnsi="Times New Roman" w:cs="B Lotus"/>
      <w:color w:val="000000" w:themeColor="text1"/>
      <w:lang w:bidi="fa-IR"/>
    </w:rPr>
  </w:style>
  <w:style w:type="paragraph" w:customStyle="1" w:styleId="3">
    <w:name w:val="تیتر 3"/>
    <w:basedOn w:val="a0"/>
    <w:link w:val="3Char"/>
    <w:qFormat/>
    <w:rsid w:val="00CF69B3"/>
    <w:pPr>
      <w:tabs>
        <w:tab w:val="left" w:pos="7305"/>
      </w:tabs>
    </w:pPr>
    <w:rPr>
      <w:b/>
      <w:bCs/>
      <w:lang w:bidi="fa-IR"/>
    </w:rPr>
  </w:style>
  <w:style w:type="character" w:customStyle="1" w:styleId="3Char">
    <w:name w:val="تیتر 3 Char"/>
    <w:basedOn w:val="Char"/>
    <w:link w:val="3"/>
    <w:rsid w:val="00CF69B3"/>
    <w:rPr>
      <w:rFonts w:ascii="Times New Roman" w:hAnsi="Times New Roman" w:cs="B Lotus"/>
      <w:b/>
      <w:bCs/>
      <w:sz w:val="28"/>
      <w:szCs w:val="28"/>
      <w:lang w:bidi="fa-IR"/>
    </w:rPr>
  </w:style>
  <w:style w:type="character" w:customStyle="1" w:styleId="UnresolvedMention1">
    <w:name w:val="Unresolved Mention1"/>
    <w:basedOn w:val="DefaultParagraphFont"/>
    <w:uiPriority w:val="99"/>
    <w:semiHidden/>
    <w:unhideWhenUsed/>
    <w:rsid w:val="00CF69B3"/>
    <w:rPr>
      <w:color w:val="605E5C"/>
      <w:shd w:val="clear" w:color="auto" w:fill="E1DFDD"/>
    </w:rPr>
  </w:style>
  <w:style w:type="paragraph" w:customStyle="1" w:styleId="ParaAttribute11">
    <w:name w:val="ParaAttribute11"/>
    <w:rsid w:val="00CF69B3"/>
    <w:pPr>
      <w:wordWrap w:val="0"/>
      <w:spacing w:after="200" w:line="240" w:lineRule="auto"/>
    </w:pPr>
    <w:rPr>
      <w:rFonts w:ascii="Times New Roman" w:eastAsia="Batang" w:hAnsi="Times New Roman" w:cs="Times New Roman"/>
      <w:sz w:val="20"/>
      <w:szCs w:val="20"/>
    </w:rPr>
  </w:style>
  <w:style w:type="paragraph" w:customStyle="1" w:styleId="bold">
    <w:name w:val="bold"/>
    <w:basedOn w:val="Normal"/>
    <w:rsid w:val="00CF69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belsanstext17">
    <w:name w:val="labelsanstext17"/>
    <w:basedOn w:val="DefaultParagraphFont"/>
    <w:rsid w:val="00CF69B3"/>
  </w:style>
  <w:style w:type="paragraph" w:styleId="Subtitle">
    <w:name w:val="Subtitle"/>
    <w:basedOn w:val="Normal"/>
    <w:link w:val="SubtitleChar"/>
    <w:qFormat/>
    <w:rsid w:val="00CF69B3"/>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CF69B3"/>
    <w:rPr>
      <w:rFonts w:ascii="Times New Roman" w:eastAsia="Times New Roman" w:hAnsi="Times New Roman" w:cs="B Zar"/>
      <w:sz w:val="28"/>
      <w:szCs w:val="28"/>
    </w:rPr>
  </w:style>
  <w:style w:type="paragraph" w:customStyle="1" w:styleId="a4">
    <w:name w:val="جداول"/>
    <w:basedOn w:val="a0"/>
    <w:link w:val="Char2"/>
    <w:qFormat/>
    <w:rsid w:val="00CF69B3"/>
  </w:style>
  <w:style w:type="character" w:customStyle="1" w:styleId="Char2">
    <w:name w:val="جداول Char"/>
    <w:basedOn w:val="Char"/>
    <w:link w:val="a4"/>
    <w:rsid w:val="00CF69B3"/>
    <w:rPr>
      <w:rFonts w:ascii="Times New Roman" w:hAnsi="Times New Roman" w:cs="B Lotus"/>
      <w:sz w:val="28"/>
      <w:szCs w:val="28"/>
    </w:rPr>
  </w:style>
  <w:style w:type="paragraph" w:styleId="HTMLPreformatted">
    <w:name w:val="HTML Preformatted"/>
    <w:basedOn w:val="Normal"/>
    <w:link w:val="HTMLPreformattedChar"/>
    <w:uiPriority w:val="99"/>
    <w:unhideWhenUsed/>
    <w:rsid w:val="00CF69B3"/>
    <w:pPr>
      <w:spacing w:after="0" w:line="240" w:lineRule="auto"/>
    </w:pPr>
    <w:rPr>
      <w:rFonts w:ascii="Consolas" w:eastAsia="Times New Roman" w:hAnsi="Consolas" w:cs="Times New Roman"/>
      <w:sz w:val="20"/>
      <w:szCs w:val="20"/>
    </w:rPr>
  </w:style>
  <w:style w:type="character" w:customStyle="1" w:styleId="HTMLPreformattedChar">
    <w:name w:val="HTML Preformatted Char"/>
    <w:basedOn w:val="DefaultParagraphFont"/>
    <w:link w:val="HTMLPreformatted"/>
    <w:uiPriority w:val="99"/>
    <w:rsid w:val="00CF69B3"/>
    <w:rPr>
      <w:rFonts w:ascii="Consolas" w:eastAsia="Times New Roman" w:hAnsi="Consolas" w:cs="Times New Roman"/>
      <w:sz w:val="20"/>
      <w:szCs w:val="20"/>
    </w:rPr>
  </w:style>
  <w:style w:type="paragraph" w:customStyle="1" w:styleId="itemid">
    <w:name w:val="itemid"/>
    <w:basedOn w:val="Normal"/>
    <w:rsid w:val="00CF69B3"/>
    <w:pPr>
      <w:spacing w:before="100" w:beforeAutospacing="1" w:after="100" w:afterAutospacing="1" w:line="240" w:lineRule="auto"/>
    </w:pPr>
    <w:rPr>
      <w:rFonts w:ascii="Times New Roman" w:eastAsia="Times New Roman" w:hAnsi="Times New Roman" w:cs="Times New Roman"/>
      <w:sz w:val="24"/>
      <w:szCs w:val="24"/>
      <w:lang w:bidi="fa-IR"/>
    </w:rPr>
  </w:style>
  <w:style w:type="paragraph" w:customStyle="1" w:styleId="a5">
    <w:name w:val="جدول ها"/>
    <w:basedOn w:val="Caption"/>
    <w:link w:val="Char3"/>
    <w:qFormat/>
    <w:rsid w:val="00CF69B3"/>
    <w:pPr>
      <w:bidi/>
      <w:spacing w:after="0"/>
      <w:jc w:val="center"/>
    </w:pPr>
    <w:rPr>
      <w:rFonts w:ascii="Times New Roman" w:hAnsi="Times New Roman" w:cs="B Lotus"/>
      <w:i w:val="0"/>
      <w:iCs w:val="0"/>
      <w:color w:val="auto"/>
      <w:sz w:val="22"/>
      <w:szCs w:val="22"/>
    </w:rPr>
  </w:style>
  <w:style w:type="character" w:customStyle="1" w:styleId="Char3">
    <w:name w:val="جدول ها Char"/>
    <w:basedOn w:val="DefaultParagraphFont"/>
    <w:link w:val="a5"/>
    <w:rsid w:val="00CF69B3"/>
    <w:rPr>
      <w:rFonts w:ascii="Times New Roman" w:hAnsi="Times New Roman" w:cs="B Lotus"/>
    </w:rPr>
  </w:style>
  <w:style w:type="paragraph" w:customStyle="1" w:styleId="a6">
    <w:name w:val="منحنی"/>
    <w:basedOn w:val="a0"/>
    <w:link w:val="Char4"/>
    <w:qFormat/>
    <w:rsid w:val="00CF69B3"/>
  </w:style>
  <w:style w:type="character" w:customStyle="1" w:styleId="Char4">
    <w:name w:val="منحنی Char"/>
    <w:basedOn w:val="Char"/>
    <w:link w:val="a6"/>
    <w:rsid w:val="00CF69B3"/>
    <w:rPr>
      <w:rFonts w:ascii="Times New Roman" w:hAnsi="Times New Roman" w:cs="B Lotus"/>
      <w:sz w:val="28"/>
      <w:szCs w:val="28"/>
    </w:rPr>
  </w:style>
  <w:style w:type="table" w:styleId="PlainTable4">
    <w:name w:val="Plain Table 4"/>
    <w:basedOn w:val="TableNormal"/>
    <w:uiPriority w:val="44"/>
    <w:rsid w:val="00CF69B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1Light-Accent3">
    <w:name w:val="List Table 1 Light Accent 3"/>
    <w:basedOn w:val="TableNormal"/>
    <w:uiPriority w:val="46"/>
    <w:rsid w:val="00CF69B3"/>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a7">
    <w:name w:val="نمودار ها"/>
    <w:basedOn w:val="a4"/>
    <w:qFormat/>
    <w:rsid w:val="00CF69B3"/>
    <w:pPr>
      <w:keepNext/>
      <w:keepLines/>
      <w:spacing w:before="240" w:after="0" w:line="259" w:lineRule="auto"/>
      <w:jc w:val="center"/>
      <w:outlineLvl w:val="0"/>
    </w:pPr>
    <w:rPr>
      <w:rFonts w:eastAsiaTheme="majorEastAsia"/>
      <w:color w:val="000000" w:themeColor="text1"/>
    </w:rPr>
  </w:style>
  <w:style w:type="paragraph" w:styleId="NormalWeb">
    <w:name w:val="Normal (Web)"/>
    <w:basedOn w:val="Normal"/>
    <w:uiPriority w:val="99"/>
    <w:semiHidden/>
    <w:unhideWhenUsed/>
    <w:rsid w:val="00CF69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e-math-mathml-inline">
    <w:name w:val="mwe-math-mathml-inline"/>
    <w:basedOn w:val="DefaultParagraphFont"/>
    <w:rsid w:val="00CF69B3"/>
  </w:style>
  <w:style w:type="character" w:customStyle="1" w:styleId="hgkelc">
    <w:name w:val="hgkelc"/>
    <w:basedOn w:val="DefaultParagraphFont"/>
    <w:rsid w:val="00CF69B3"/>
  </w:style>
  <w:style w:type="character" w:styleId="FollowedHyperlink">
    <w:name w:val="FollowedHyperlink"/>
    <w:basedOn w:val="DefaultParagraphFont"/>
    <w:uiPriority w:val="99"/>
    <w:semiHidden/>
    <w:unhideWhenUsed/>
    <w:rsid w:val="00CF69B3"/>
    <w:rPr>
      <w:color w:val="954F72" w:themeColor="followedHyperlink"/>
      <w:u w:val="single"/>
    </w:rPr>
  </w:style>
  <w:style w:type="character" w:customStyle="1" w:styleId="authors-list-item">
    <w:name w:val="authors-list-item"/>
    <w:basedOn w:val="DefaultParagraphFont"/>
    <w:rsid w:val="00CF69B3"/>
  </w:style>
  <w:style w:type="character" w:customStyle="1" w:styleId="author-sup-separator">
    <w:name w:val="author-sup-separator"/>
    <w:basedOn w:val="DefaultParagraphFont"/>
    <w:rsid w:val="00CF69B3"/>
  </w:style>
  <w:style w:type="character" w:customStyle="1" w:styleId="comma">
    <w:name w:val="comma"/>
    <w:basedOn w:val="DefaultParagraphFont"/>
    <w:rsid w:val="00CF69B3"/>
  </w:style>
  <w:style w:type="character" w:customStyle="1" w:styleId="identifier">
    <w:name w:val="identifier"/>
    <w:basedOn w:val="DefaultParagraphFont"/>
    <w:rsid w:val="00CF69B3"/>
  </w:style>
  <w:style w:type="character" w:customStyle="1" w:styleId="id-label">
    <w:name w:val="id-label"/>
    <w:basedOn w:val="DefaultParagraphFont"/>
    <w:rsid w:val="00CF69B3"/>
  </w:style>
  <w:style w:type="character" w:customStyle="1" w:styleId="markedcontent">
    <w:name w:val="markedcontent"/>
    <w:basedOn w:val="DefaultParagraphFont"/>
    <w:rsid w:val="00CF69B3"/>
  </w:style>
  <w:style w:type="paragraph" w:styleId="TOC1">
    <w:name w:val="toc 1"/>
    <w:basedOn w:val="Normal"/>
    <w:next w:val="Normal"/>
    <w:autoRedefine/>
    <w:uiPriority w:val="39"/>
    <w:unhideWhenUsed/>
    <w:rsid w:val="00CF69B3"/>
    <w:pPr>
      <w:tabs>
        <w:tab w:val="right" w:leader="dot" w:pos="9350"/>
      </w:tabs>
      <w:bidi/>
      <w:spacing w:after="100" w:line="240" w:lineRule="auto"/>
    </w:pPr>
    <w:rPr>
      <w:rFonts w:ascii="B Lotus" w:hAnsi="B Lotus" w:cs="B Nazanin"/>
      <w:noProof/>
      <w:sz w:val="28"/>
      <w:szCs w:val="28"/>
      <w:lang w:bidi="fa-IR"/>
    </w:rPr>
  </w:style>
  <w:style w:type="paragraph" w:styleId="TOC2">
    <w:name w:val="toc 2"/>
    <w:basedOn w:val="Normal"/>
    <w:next w:val="Normal"/>
    <w:link w:val="TOC2Char"/>
    <w:autoRedefine/>
    <w:uiPriority w:val="39"/>
    <w:unhideWhenUsed/>
    <w:rsid w:val="00CF69B3"/>
    <w:pPr>
      <w:spacing w:after="100"/>
      <w:ind w:left="220"/>
    </w:pPr>
    <w:rPr>
      <w:rFonts w:eastAsiaTheme="minorEastAsia"/>
    </w:rPr>
  </w:style>
  <w:style w:type="paragraph" w:styleId="TOC3">
    <w:name w:val="toc 3"/>
    <w:basedOn w:val="Normal"/>
    <w:next w:val="Normal"/>
    <w:autoRedefine/>
    <w:uiPriority w:val="39"/>
    <w:unhideWhenUsed/>
    <w:rsid w:val="00CF69B3"/>
    <w:pPr>
      <w:spacing w:after="100"/>
      <w:ind w:left="440"/>
    </w:pPr>
    <w:rPr>
      <w:rFonts w:eastAsiaTheme="minorEastAsia"/>
    </w:rPr>
  </w:style>
  <w:style w:type="paragraph" w:styleId="TOC4">
    <w:name w:val="toc 4"/>
    <w:basedOn w:val="Normal"/>
    <w:next w:val="Normal"/>
    <w:autoRedefine/>
    <w:uiPriority w:val="39"/>
    <w:unhideWhenUsed/>
    <w:rsid w:val="00CF69B3"/>
    <w:pPr>
      <w:spacing w:after="100"/>
      <w:ind w:left="660"/>
    </w:pPr>
    <w:rPr>
      <w:rFonts w:eastAsiaTheme="minorEastAsia"/>
    </w:rPr>
  </w:style>
  <w:style w:type="paragraph" w:styleId="TOC5">
    <w:name w:val="toc 5"/>
    <w:basedOn w:val="Normal"/>
    <w:next w:val="Normal"/>
    <w:autoRedefine/>
    <w:uiPriority w:val="39"/>
    <w:unhideWhenUsed/>
    <w:rsid w:val="00CF69B3"/>
    <w:pPr>
      <w:spacing w:after="100"/>
      <w:ind w:left="880"/>
    </w:pPr>
    <w:rPr>
      <w:rFonts w:eastAsiaTheme="minorEastAsia"/>
    </w:rPr>
  </w:style>
  <w:style w:type="paragraph" w:styleId="TOC6">
    <w:name w:val="toc 6"/>
    <w:basedOn w:val="Normal"/>
    <w:next w:val="Normal"/>
    <w:autoRedefine/>
    <w:uiPriority w:val="39"/>
    <w:unhideWhenUsed/>
    <w:rsid w:val="00CF69B3"/>
    <w:pPr>
      <w:spacing w:after="100"/>
      <w:ind w:left="1100"/>
    </w:pPr>
    <w:rPr>
      <w:rFonts w:eastAsiaTheme="minorEastAsia"/>
    </w:rPr>
  </w:style>
  <w:style w:type="paragraph" w:styleId="TOC7">
    <w:name w:val="toc 7"/>
    <w:basedOn w:val="Normal"/>
    <w:next w:val="Normal"/>
    <w:autoRedefine/>
    <w:uiPriority w:val="39"/>
    <w:unhideWhenUsed/>
    <w:rsid w:val="00CF69B3"/>
    <w:pPr>
      <w:spacing w:after="100"/>
      <w:ind w:left="1320"/>
    </w:pPr>
    <w:rPr>
      <w:rFonts w:eastAsiaTheme="minorEastAsia"/>
    </w:rPr>
  </w:style>
  <w:style w:type="paragraph" w:styleId="TOC8">
    <w:name w:val="toc 8"/>
    <w:basedOn w:val="Normal"/>
    <w:next w:val="Normal"/>
    <w:autoRedefine/>
    <w:uiPriority w:val="39"/>
    <w:unhideWhenUsed/>
    <w:rsid w:val="00CF69B3"/>
    <w:pPr>
      <w:spacing w:after="100"/>
      <w:ind w:left="1540"/>
    </w:pPr>
    <w:rPr>
      <w:rFonts w:eastAsiaTheme="minorEastAsia"/>
    </w:rPr>
  </w:style>
  <w:style w:type="paragraph" w:styleId="TOC9">
    <w:name w:val="toc 9"/>
    <w:basedOn w:val="Normal"/>
    <w:next w:val="Normal"/>
    <w:autoRedefine/>
    <w:uiPriority w:val="39"/>
    <w:unhideWhenUsed/>
    <w:rsid w:val="00CF69B3"/>
    <w:pPr>
      <w:spacing w:after="100"/>
      <w:ind w:left="1760"/>
    </w:pPr>
    <w:rPr>
      <w:rFonts w:eastAsiaTheme="minorEastAsia"/>
    </w:rPr>
  </w:style>
  <w:style w:type="character" w:customStyle="1" w:styleId="shorttext">
    <w:name w:val="short_text"/>
    <w:basedOn w:val="DefaultParagraphFont"/>
    <w:rsid w:val="00CF69B3"/>
  </w:style>
  <w:style w:type="character" w:styleId="PageNumber">
    <w:name w:val="page number"/>
    <w:basedOn w:val="DefaultParagraphFont"/>
    <w:rsid w:val="00CF69B3"/>
  </w:style>
  <w:style w:type="character" w:customStyle="1" w:styleId="CharChar2">
    <w:name w:val="Char Char2"/>
    <w:locked/>
    <w:rsid w:val="00CF69B3"/>
    <w:rPr>
      <w:rFonts w:cs="B Lotus"/>
      <w:b/>
      <w:bCs/>
      <w:sz w:val="24"/>
      <w:szCs w:val="24"/>
      <w:lang w:val="en-US" w:eastAsia="en-US" w:bidi="ar-SA"/>
    </w:rPr>
  </w:style>
  <w:style w:type="paragraph" w:styleId="BodyText">
    <w:name w:val="Body Text"/>
    <w:basedOn w:val="Normal"/>
    <w:link w:val="BodyTextChar"/>
    <w:rsid w:val="00CF69B3"/>
    <w:pPr>
      <w:bidi/>
      <w:spacing w:after="0" w:line="240" w:lineRule="auto"/>
    </w:pPr>
    <w:rPr>
      <w:rFonts w:ascii="Times New Roman" w:eastAsia="Times New Roman" w:hAnsi="Times New Roman" w:cs="B Zar"/>
      <w:sz w:val="24"/>
      <w:szCs w:val="24"/>
    </w:rPr>
  </w:style>
  <w:style w:type="character" w:customStyle="1" w:styleId="BodyTextChar">
    <w:name w:val="Body Text Char"/>
    <w:basedOn w:val="DefaultParagraphFont"/>
    <w:link w:val="BodyText"/>
    <w:rsid w:val="00CF69B3"/>
    <w:rPr>
      <w:rFonts w:ascii="Times New Roman" w:eastAsia="Times New Roman" w:hAnsi="Times New Roman" w:cs="B Zar"/>
      <w:sz w:val="24"/>
      <w:szCs w:val="24"/>
    </w:rPr>
  </w:style>
  <w:style w:type="paragraph" w:styleId="DocumentMap">
    <w:name w:val="Document Map"/>
    <w:basedOn w:val="Normal"/>
    <w:link w:val="DocumentMapChar"/>
    <w:rsid w:val="00CF69B3"/>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rsid w:val="00CF69B3"/>
    <w:rPr>
      <w:rFonts w:ascii="Tahoma" w:eastAsia="Times New Roman" w:hAnsi="Tahoma" w:cs="Tahoma"/>
      <w:sz w:val="20"/>
      <w:szCs w:val="20"/>
      <w:shd w:val="clear" w:color="auto" w:fill="000080"/>
    </w:rPr>
  </w:style>
  <w:style w:type="character" w:customStyle="1" w:styleId="metadata--author-name">
    <w:name w:val="metadata--author-name"/>
    <w:rsid w:val="00CF69B3"/>
  </w:style>
  <w:style w:type="character" w:customStyle="1" w:styleId="given-name">
    <w:name w:val="given-name"/>
    <w:basedOn w:val="DefaultParagraphFont"/>
    <w:rsid w:val="00CF69B3"/>
  </w:style>
  <w:style w:type="character" w:customStyle="1" w:styleId="text">
    <w:name w:val="text"/>
    <w:basedOn w:val="DefaultParagraphFont"/>
    <w:rsid w:val="00CF69B3"/>
  </w:style>
  <w:style w:type="paragraph" w:customStyle="1" w:styleId="NormalText">
    <w:name w:val="NormalText"/>
    <w:basedOn w:val="Subtitle"/>
    <w:link w:val="NormalTextChar"/>
    <w:rsid w:val="00CF69B3"/>
    <w:rPr>
      <w:b/>
      <w:bCs/>
      <w:lang w:val="x-none" w:eastAsia="x-none" w:bidi="fa-IR"/>
    </w:rPr>
  </w:style>
  <w:style w:type="character" w:customStyle="1" w:styleId="NormalTextChar">
    <w:name w:val="NormalText Char"/>
    <w:link w:val="NormalText"/>
    <w:rsid w:val="00CF69B3"/>
    <w:rPr>
      <w:rFonts w:ascii="Times New Roman" w:eastAsia="Times New Roman" w:hAnsi="Times New Roman" w:cs="B Zar"/>
      <w:b/>
      <w:bCs/>
      <w:sz w:val="28"/>
      <w:szCs w:val="28"/>
      <w:lang w:val="x-none" w:eastAsia="x-none" w:bidi="fa-IR"/>
    </w:rPr>
  </w:style>
  <w:style w:type="paragraph" w:customStyle="1" w:styleId="a8">
    <w:name w:val="متن اصلی"/>
    <w:basedOn w:val="Normal"/>
    <w:link w:val="Char5"/>
    <w:qFormat/>
    <w:rsid w:val="00CF69B3"/>
    <w:pPr>
      <w:bidi/>
      <w:spacing w:after="0" w:line="240" w:lineRule="auto"/>
      <w:ind w:firstLine="567"/>
    </w:pPr>
    <w:rPr>
      <w:rFonts w:ascii="Arial" w:eastAsia="Calibri" w:hAnsi="Arial" w:cs="B Nazanin"/>
      <w:color w:val="000066"/>
      <w:szCs w:val="24"/>
      <w:lang w:val="x-none" w:eastAsia="x-none" w:bidi="fa-IR"/>
    </w:rPr>
  </w:style>
  <w:style w:type="character" w:customStyle="1" w:styleId="Char5">
    <w:name w:val="متن اصلی Char"/>
    <w:link w:val="a8"/>
    <w:rsid w:val="00CF69B3"/>
    <w:rPr>
      <w:rFonts w:ascii="Arial" w:eastAsia="Calibri" w:hAnsi="Arial" w:cs="B Nazanin"/>
      <w:color w:val="000066"/>
      <w:szCs w:val="24"/>
      <w:lang w:val="x-none" w:eastAsia="x-none" w:bidi="fa-IR"/>
    </w:rPr>
  </w:style>
  <w:style w:type="paragraph" w:customStyle="1" w:styleId="a9">
    <w:name w:val="توضیح اضافی"/>
    <w:basedOn w:val="a8"/>
    <w:link w:val="Char6"/>
    <w:qFormat/>
    <w:rsid w:val="00CF69B3"/>
    <w:pPr>
      <w:bidi w:val="0"/>
      <w:ind w:firstLine="0"/>
      <w:jc w:val="both"/>
    </w:pPr>
    <w:rPr>
      <w:rFonts w:cs="B Lotus"/>
      <w:color w:val="008000"/>
      <w:szCs w:val="22"/>
    </w:rPr>
  </w:style>
  <w:style w:type="paragraph" w:customStyle="1" w:styleId="aa">
    <w:name w:val="عنوان بخش"/>
    <w:basedOn w:val="Heading1"/>
    <w:link w:val="Char7"/>
    <w:qFormat/>
    <w:rsid w:val="00CF69B3"/>
    <w:pPr>
      <w:keepLines w:val="0"/>
      <w:bidi/>
      <w:spacing w:before="360"/>
      <w:ind w:left="-284"/>
      <w:jc w:val="left"/>
    </w:pPr>
    <w:rPr>
      <w:rFonts w:ascii="Times New Roman" w:eastAsia="Times New Roman" w:hAnsi="Times New Roman" w:cs="Times New Roman"/>
      <w:b/>
      <w:bCs/>
      <w:color w:val="000000"/>
      <w:sz w:val="24"/>
      <w:szCs w:val="24"/>
      <w:lang w:val="x-none" w:eastAsia="x-none" w:bidi="fa-IR"/>
    </w:rPr>
  </w:style>
  <w:style w:type="character" w:customStyle="1" w:styleId="Char6">
    <w:name w:val="توضیح اضافی Char"/>
    <w:link w:val="a9"/>
    <w:rsid w:val="00CF69B3"/>
    <w:rPr>
      <w:rFonts w:ascii="Arial" w:eastAsia="Calibri" w:hAnsi="Arial" w:cs="B Lotus"/>
      <w:color w:val="008000"/>
      <w:lang w:val="x-none" w:eastAsia="x-none" w:bidi="fa-IR"/>
    </w:rPr>
  </w:style>
  <w:style w:type="character" w:customStyle="1" w:styleId="Char7">
    <w:name w:val="عنوان بخش Char"/>
    <w:link w:val="aa"/>
    <w:rsid w:val="00CF69B3"/>
    <w:rPr>
      <w:rFonts w:ascii="Times New Roman" w:eastAsia="Times New Roman" w:hAnsi="Times New Roman" w:cs="Times New Roman"/>
      <w:b/>
      <w:bCs/>
      <w:color w:val="000000"/>
      <w:sz w:val="24"/>
      <w:szCs w:val="24"/>
      <w:lang w:val="x-none" w:eastAsia="x-none" w:bidi="fa-IR"/>
    </w:rPr>
  </w:style>
  <w:style w:type="paragraph" w:customStyle="1" w:styleId="a">
    <w:name w:val="عنوان زیربخش"/>
    <w:basedOn w:val="Normal"/>
    <w:link w:val="Char8"/>
    <w:qFormat/>
    <w:rsid w:val="00CF69B3"/>
    <w:pPr>
      <w:numPr>
        <w:numId w:val="8"/>
      </w:numPr>
      <w:bidi/>
      <w:spacing w:before="240" w:after="0" w:line="240" w:lineRule="auto"/>
      <w:ind w:left="0" w:hanging="397"/>
    </w:pPr>
    <w:rPr>
      <w:rFonts w:ascii="Arial" w:eastAsia="Times New Roman" w:hAnsi="Arial" w:cs="Times New Roman"/>
      <w:b/>
      <w:bCs/>
      <w:szCs w:val="24"/>
      <w:lang w:val="x-none" w:eastAsia="x-none" w:bidi="fa-IR"/>
    </w:rPr>
  </w:style>
  <w:style w:type="character" w:customStyle="1" w:styleId="Char8">
    <w:name w:val="عنوان زیربخش Char"/>
    <w:link w:val="a"/>
    <w:rsid w:val="00CF69B3"/>
    <w:rPr>
      <w:rFonts w:ascii="Arial" w:eastAsia="Times New Roman" w:hAnsi="Arial" w:cs="Times New Roman"/>
      <w:b/>
      <w:bCs/>
      <w:szCs w:val="24"/>
      <w:lang w:val="x-none" w:eastAsia="x-none" w:bidi="fa-IR"/>
    </w:rPr>
  </w:style>
  <w:style w:type="numbering" w:customStyle="1" w:styleId="NoList1">
    <w:name w:val="No List1"/>
    <w:next w:val="NoList"/>
    <w:uiPriority w:val="99"/>
    <w:semiHidden/>
    <w:unhideWhenUsed/>
    <w:rsid w:val="00CF69B3"/>
  </w:style>
  <w:style w:type="table" w:customStyle="1" w:styleId="TableGrid1">
    <w:name w:val="Table Grid1"/>
    <w:basedOn w:val="TableNormal"/>
    <w:next w:val="TableGrid"/>
    <w:uiPriority w:val="59"/>
    <w:rsid w:val="00CF69B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rsid w:val="00CF69B3"/>
    <w:pPr>
      <w:spacing w:after="120" w:line="480" w:lineRule="auto"/>
    </w:pPr>
    <w:rPr>
      <w:rFonts w:ascii="Times New Roman" w:eastAsia="Times New Roman" w:hAnsi="Times New Roman" w:cs="Times New Roman"/>
      <w:sz w:val="24"/>
      <w:szCs w:val="24"/>
      <w:lang w:val="x-none" w:eastAsia="x-none" w:bidi="fa-IR"/>
    </w:rPr>
  </w:style>
  <w:style w:type="character" w:customStyle="1" w:styleId="BodyText2Char">
    <w:name w:val="Body Text 2 Char"/>
    <w:basedOn w:val="DefaultParagraphFont"/>
    <w:link w:val="BodyText2"/>
    <w:rsid w:val="00CF69B3"/>
    <w:rPr>
      <w:rFonts w:ascii="Times New Roman" w:eastAsia="Times New Roman" w:hAnsi="Times New Roman" w:cs="Times New Roman"/>
      <w:sz w:val="24"/>
      <w:szCs w:val="24"/>
      <w:lang w:val="x-none" w:eastAsia="x-none" w:bidi="fa-IR"/>
    </w:rPr>
  </w:style>
  <w:style w:type="paragraph" w:styleId="BodyText3">
    <w:name w:val="Body Text 3"/>
    <w:basedOn w:val="Normal"/>
    <w:link w:val="BodyText3Char"/>
    <w:rsid w:val="00CF69B3"/>
    <w:pPr>
      <w:spacing w:after="120" w:line="240" w:lineRule="auto"/>
    </w:pPr>
    <w:rPr>
      <w:rFonts w:ascii="Times New Roman" w:eastAsia="Times New Roman" w:hAnsi="Times New Roman" w:cs="Times New Roman"/>
      <w:sz w:val="16"/>
      <w:szCs w:val="16"/>
      <w:lang w:val="x-none" w:eastAsia="x-none" w:bidi="fa-IR"/>
    </w:rPr>
  </w:style>
  <w:style w:type="character" w:customStyle="1" w:styleId="BodyText3Char">
    <w:name w:val="Body Text 3 Char"/>
    <w:basedOn w:val="DefaultParagraphFont"/>
    <w:link w:val="BodyText3"/>
    <w:rsid w:val="00CF69B3"/>
    <w:rPr>
      <w:rFonts w:ascii="Times New Roman" w:eastAsia="Times New Roman" w:hAnsi="Times New Roman" w:cs="Times New Roman"/>
      <w:sz w:val="16"/>
      <w:szCs w:val="16"/>
      <w:lang w:val="x-none" w:eastAsia="x-none" w:bidi="fa-IR"/>
    </w:rPr>
  </w:style>
  <w:style w:type="paragraph" w:customStyle="1" w:styleId="general">
    <w:name w:val="general"/>
    <w:basedOn w:val="a8"/>
    <w:link w:val="generalChar"/>
    <w:rsid w:val="00CF69B3"/>
    <w:rPr>
      <w:rFonts w:ascii="Times New Roman" w:hAnsi="Times New Roman" w:cs="B Lotus"/>
      <w:color w:val="auto"/>
      <w:sz w:val="24"/>
      <w:szCs w:val="28"/>
    </w:rPr>
  </w:style>
  <w:style w:type="paragraph" w:customStyle="1" w:styleId="Caption1">
    <w:name w:val="Caption1"/>
    <w:basedOn w:val="general"/>
    <w:link w:val="captionChar"/>
    <w:rsid w:val="00CF69B3"/>
    <w:pPr>
      <w:spacing w:before="360"/>
      <w:ind w:firstLine="0"/>
      <w:jc w:val="center"/>
    </w:pPr>
    <w:rPr>
      <w:color w:val="000000"/>
    </w:rPr>
  </w:style>
  <w:style w:type="character" w:customStyle="1" w:styleId="generalChar">
    <w:name w:val="general Char"/>
    <w:link w:val="general"/>
    <w:rsid w:val="00CF69B3"/>
    <w:rPr>
      <w:rFonts w:ascii="Times New Roman" w:eastAsia="Calibri" w:hAnsi="Times New Roman" w:cs="B Lotus"/>
      <w:sz w:val="24"/>
      <w:szCs w:val="28"/>
      <w:lang w:val="x-none" w:eastAsia="x-none" w:bidi="fa-IR"/>
    </w:rPr>
  </w:style>
  <w:style w:type="character" w:customStyle="1" w:styleId="captionChar">
    <w:name w:val="caption Char"/>
    <w:link w:val="Caption1"/>
    <w:rsid w:val="00CF69B3"/>
    <w:rPr>
      <w:rFonts w:ascii="Times New Roman" w:eastAsia="Calibri" w:hAnsi="Times New Roman" w:cs="B Lotus"/>
      <w:color w:val="000000"/>
      <w:sz w:val="24"/>
      <w:szCs w:val="28"/>
      <w:lang w:val="x-none" w:eastAsia="x-none" w:bidi="fa-IR"/>
    </w:rPr>
  </w:style>
  <w:style w:type="paragraph" w:customStyle="1" w:styleId="Heading31">
    <w:name w:val="Heading 31"/>
    <w:basedOn w:val="a8"/>
    <w:link w:val="heading3Char0"/>
    <w:rsid w:val="00CF69B3"/>
    <w:pPr>
      <w:spacing w:before="360"/>
      <w:ind w:firstLine="0"/>
    </w:pPr>
    <w:rPr>
      <w:rFonts w:ascii="Times New Roman" w:hAnsi="Times New Roman" w:cs="B Lotus"/>
      <w:color w:val="auto"/>
      <w:sz w:val="32"/>
      <w:szCs w:val="36"/>
    </w:rPr>
  </w:style>
  <w:style w:type="character" w:customStyle="1" w:styleId="heading3Char0">
    <w:name w:val="heading 3 Char"/>
    <w:link w:val="Heading31"/>
    <w:rsid w:val="00CF69B3"/>
    <w:rPr>
      <w:rFonts w:ascii="Times New Roman" w:eastAsia="Calibri" w:hAnsi="Times New Roman" w:cs="B Lotus"/>
      <w:sz w:val="32"/>
      <w:szCs w:val="36"/>
      <w:lang w:val="x-none" w:eastAsia="x-none" w:bidi="fa-IR"/>
    </w:rPr>
  </w:style>
  <w:style w:type="paragraph" w:styleId="NoSpacing">
    <w:name w:val="No Spacing"/>
    <w:uiPriority w:val="1"/>
    <w:qFormat/>
    <w:rsid w:val="00CF69B3"/>
    <w:pPr>
      <w:spacing w:after="0" w:line="240" w:lineRule="auto"/>
      <w:ind w:firstLine="567"/>
      <w:jc w:val="right"/>
    </w:pPr>
    <w:rPr>
      <w:rFonts w:ascii="B Lotus" w:eastAsia="Calibri" w:hAnsi="B Lotus" w:cs="B Lotus"/>
      <w:sz w:val="28"/>
      <w:szCs w:val="28"/>
    </w:rPr>
  </w:style>
  <w:style w:type="paragraph" w:styleId="TOCHeading">
    <w:name w:val="TOC Heading"/>
    <w:basedOn w:val="Normal"/>
    <w:next w:val="Normal"/>
    <w:autoRedefine/>
    <w:uiPriority w:val="39"/>
    <w:unhideWhenUsed/>
    <w:qFormat/>
    <w:rsid w:val="00CF69B3"/>
    <w:pPr>
      <w:bidi/>
      <w:spacing w:before="480" w:after="200" w:line="276" w:lineRule="auto"/>
    </w:pPr>
    <w:rPr>
      <w:rFonts w:ascii="Times New Roman" w:eastAsia="Calibri" w:hAnsi="Times New Roman" w:cs="B Lotus"/>
      <w:szCs w:val="32"/>
      <w:lang w:bidi="fa-IR"/>
    </w:rPr>
  </w:style>
  <w:style w:type="character" w:styleId="IntenseReference">
    <w:name w:val="Intense Reference"/>
    <w:uiPriority w:val="32"/>
    <w:rsid w:val="00CF69B3"/>
    <w:rPr>
      <w:rFonts w:ascii="Times New Roman" w:hAnsi="Times New Roman"/>
      <w:bCs/>
      <w:smallCaps/>
      <w:color w:val="auto"/>
      <w:spacing w:val="5"/>
      <w:sz w:val="24"/>
      <w:u w:val="none"/>
    </w:rPr>
  </w:style>
  <w:style w:type="character" w:customStyle="1" w:styleId="TOC2Char">
    <w:name w:val="TOC 2 Char"/>
    <w:link w:val="TOC2"/>
    <w:uiPriority w:val="39"/>
    <w:rsid w:val="00CF69B3"/>
    <w:rPr>
      <w:rFonts w:eastAsiaTheme="minorEastAsia"/>
    </w:rPr>
  </w:style>
  <w:style w:type="paragraph" w:styleId="TableofFigures">
    <w:name w:val="table of figures"/>
    <w:basedOn w:val="Normal"/>
    <w:next w:val="Normal"/>
    <w:uiPriority w:val="99"/>
    <w:unhideWhenUsed/>
    <w:rsid w:val="00CF69B3"/>
    <w:pPr>
      <w:bidi/>
      <w:spacing w:after="0" w:line="240" w:lineRule="auto"/>
    </w:pPr>
    <w:rPr>
      <w:rFonts w:ascii="B Lotus" w:eastAsia="Calibri" w:hAnsi="B Lotus" w:cs="B Lotus"/>
      <w:sz w:val="28"/>
      <w:szCs w:val="28"/>
    </w:rPr>
  </w:style>
  <w:style w:type="paragraph" w:customStyle="1" w:styleId="ab">
    <w:name w:val="محتوای جدول"/>
    <w:basedOn w:val="a8"/>
    <w:link w:val="Char9"/>
    <w:qFormat/>
    <w:rsid w:val="00CF69B3"/>
    <w:pPr>
      <w:ind w:firstLine="0"/>
      <w:jc w:val="center"/>
    </w:pPr>
    <w:rPr>
      <w:rFonts w:ascii="Times New Roman" w:hAnsi="Times New Roman"/>
      <w:b/>
      <w:bCs/>
      <w:noProof/>
      <w:color w:val="000099"/>
    </w:rPr>
  </w:style>
  <w:style w:type="character" w:customStyle="1" w:styleId="Char9">
    <w:name w:val="محتوای جدول Char"/>
    <w:link w:val="ab"/>
    <w:rsid w:val="00CF69B3"/>
    <w:rPr>
      <w:rFonts w:ascii="Times New Roman" w:eastAsia="Calibri" w:hAnsi="Times New Roman" w:cs="B Nazanin"/>
      <w:b/>
      <w:bCs/>
      <w:noProof/>
      <w:color w:val="000099"/>
      <w:szCs w:val="24"/>
      <w:lang w:val="x-none" w:eastAsia="x-none" w:bidi="fa-IR"/>
    </w:rPr>
  </w:style>
  <w:style w:type="paragraph" w:customStyle="1" w:styleId="ac">
    <w:name w:val="چپ نویس"/>
    <w:basedOn w:val="general"/>
    <w:link w:val="Chara"/>
    <w:rsid w:val="00CF69B3"/>
    <w:pPr>
      <w:ind w:firstLine="0"/>
    </w:pPr>
    <w:rPr>
      <w:b/>
      <w:bCs/>
      <w:sz w:val="32"/>
      <w:szCs w:val="32"/>
    </w:rPr>
  </w:style>
  <w:style w:type="character" w:customStyle="1" w:styleId="Chara">
    <w:name w:val="چپ نویس Char"/>
    <w:link w:val="ac"/>
    <w:rsid w:val="00CF69B3"/>
    <w:rPr>
      <w:rFonts w:ascii="Times New Roman" w:eastAsia="Calibri" w:hAnsi="Times New Roman" w:cs="B Lotus"/>
      <w:b/>
      <w:bCs/>
      <w:sz w:val="32"/>
      <w:szCs w:val="32"/>
      <w:lang w:val="x-none" w:eastAsia="x-none" w:bidi="fa-IR"/>
    </w:rPr>
  </w:style>
  <w:style w:type="paragraph" w:customStyle="1" w:styleId="ad">
    <w:name w:val="فهرست"/>
    <w:basedOn w:val="Normal"/>
    <w:link w:val="Charb"/>
    <w:rsid w:val="00CF69B3"/>
    <w:pPr>
      <w:bidi/>
      <w:spacing w:after="0" w:line="240" w:lineRule="auto"/>
    </w:pPr>
    <w:rPr>
      <w:rFonts w:ascii="Calibri" w:eastAsia="Times New Roman" w:hAnsi="Calibri" w:cs="Arial"/>
      <w:b/>
      <w:bCs/>
      <w:caps/>
      <w:noProof/>
      <w:sz w:val="24"/>
      <w:szCs w:val="20"/>
      <w:lang w:val="x-none" w:eastAsia="x-none" w:bidi="fa-IR"/>
    </w:rPr>
  </w:style>
  <w:style w:type="character" w:customStyle="1" w:styleId="Charb">
    <w:name w:val="فهرست Char"/>
    <w:link w:val="ad"/>
    <w:rsid w:val="00CF69B3"/>
    <w:rPr>
      <w:rFonts w:ascii="Calibri" w:eastAsia="Times New Roman" w:hAnsi="Calibri" w:cs="Arial"/>
      <w:b/>
      <w:bCs/>
      <w:caps/>
      <w:noProof/>
      <w:sz w:val="24"/>
      <w:szCs w:val="20"/>
      <w:lang w:val="x-none" w:eastAsia="x-none" w:bidi="fa-IR"/>
    </w:rPr>
  </w:style>
  <w:style w:type="paragraph" w:customStyle="1" w:styleId="Heading">
    <w:name w:val="Heading"/>
    <w:basedOn w:val="Normal"/>
    <w:autoRedefine/>
    <w:rsid w:val="00CF69B3"/>
    <w:pPr>
      <w:autoSpaceDE w:val="0"/>
      <w:autoSpaceDN w:val="0"/>
      <w:bidi/>
      <w:adjustRightInd w:val="0"/>
      <w:spacing w:after="480" w:line="480" w:lineRule="auto"/>
      <w:jc w:val="center"/>
    </w:pPr>
    <w:rPr>
      <w:rFonts w:ascii="Times New Roman" w:eastAsia="Times New Roman" w:hAnsi="Times New Roman" w:cs="B Lotus"/>
      <w:sz w:val="28"/>
      <w:szCs w:val="32"/>
    </w:rPr>
  </w:style>
  <w:style w:type="paragraph" w:customStyle="1" w:styleId="ae">
    <w:name w:val="عنوان ستون جدول"/>
    <w:basedOn w:val="Subtitle"/>
    <w:link w:val="Charc"/>
    <w:qFormat/>
    <w:rsid w:val="00CF69B3"/>
    <w:rPr>
      <w:rFonts w:cs="Times New Roman"/>
      <w:bCs/>
      <w:color w:val="000066"/>
      <w:sz w:val="22"/>
      <w:szCs w:val="24"/>
      <w:lang w:val="x-none" w:eastAsia="x-none" w:bidi="fa-IR"/>
    </w:rPr>
  </w:style>
  <w:style w:type="character" w:customStyle="1" w:styleId="Charc">
    <w:name w:val="عنوان ستون جدول Char"/>
    <w:link w:val="ae"/>
    <w:rsid w:val="00CF69B3"/>
    <w:rPr>
      <w:rFonts w:ascii="Times New Roman" w:eastAsia="Times New Roman" w:hAnsi="Times New Roman" w:cs="Times New Roman"/>
      <w:bCs/>
      <w:color w:val="000066"/>
      <w:szCs w:val="24"/>
      <w:lang w:val="x-none" w:eastAsia="x-none" w:bidi="fa-IR"/>
    </w:rPr>
  </w:style>
  <w:style w:type="paragraph" w:customStyle="1" w:styleId="af">
    <w:name w:val="متن موجود"/>
    <w:basedOn w:val="a8"/>
    <w:link w:val="Chard"/>
    <w:qFormat/>
    <w:rsid w:val="00CF69B3"/>
    <w:pPr>
      <w:ind w:firstLine="0"/>
    </w:pPr>
    <w:rPr>
      <w:rFonts w:ascii="Tahoma" w:hAnsi="Tahoma" w:cs="B Zar"/>
      <w:color w:val="000000"/>
    </w:rPr>
  </w:style>
  <w:style w:type="character" w:customStyle="1" w:styleId="Chard">
    <w:name w:val="متن موجود Char"/>
    <w:link w:val="af"/>
    <w:rsid w:val="00CF69B3"/>
    <w:rPr>
      <w:rFonts w:ascii="Tahoma" w:eastAsia="Calibri" w:hAnsi="Tahoma" w:cs="B Zar"/>
      <w:color w:val="000000"/>
      <w:szCs w:val="24"/>
      <w:lang w:val="x-none" w:eastAsia="x-none" w:bidi="fa-IR"/>
    </w:rPr>
  </w:style>
  <w:style w:type="paragraph" w:customStyle="1" w:styleId="af0">
    <w:name w:val="عنوان فصل"/>
    <w:basedOn w:val="Heading4"/>
    <w:link w:val="Chare"/>
    <w:qFormat/>
    <w:rsid w:val="00CF69B3"/>
    <w:pPr>
      <w:keepLines w:val="0"/>
      <w:bidi/>
      <w:spacing w:before="240"/>
      <w:jc w:val="center"/>
    </w:pPr>
    <w:rPr>
      <w:rFonts w:ascii="Tahoma" w:eastAsia="Times New Roman" w:hAnsi="Tahoma" w:cs="Times New Roman"/>
      <w:b/>
      <w:bCs/>
      <w:i w:val="0"/>
      <w:iCs w:val="0"/>
      <w:color w:val="000000"/>
      <w:sz w:val="24"/>
      <w:lang w:val="x-none" w:eastAsia="x-none" w:bidi="fa-IR"/>
    </w:rPr>
  </w:style>
  <w:style w:type="paragraph" w:customStyle="1" w:styleId="af1">
    <w:name w:val="عنوان اصلی"/>
    <w:basedOn w:val="Normal"/>
    <w:link w:val="Charf"/>
    <w:qFormat/>
    <w:rsid w:val="00CF69B3"/>
    <w:pPr>
      <w:bidi/>
      <w:spacing w:after="0" w:line="240" w:lineRule="auto"/>
      <w:jc w:val="center"/>
    </w:pPr>
    <w:rPr>
      <w:rFonts w:ascii="Arial" w:eastAsia="Times New Roman" w:hAnsi="Arial" w:cs="Times New Roman"/>
      <w:b/>
      <w:bCs/>
      <w:color w:val="000099"/>
      <w:sz w:val="26"/>
      <w:szCs w:val="28"/>
      <w:lang w:val="x-none" w:eastAsia="x-none" w:bidi="fa-IR"/>
    </w:rPr>
  </w:style>
  <w:style w:type="character" w:customStyle="1" w:styleId="Chare">
    <w:name w:val="عنوان فصل Char"/>
    <w:link w:val="af0"/>
    <w:rsid w:val="00CF69B3"/>
    <w:rPr>
      <w:rFonts w:ascii="Tahoma" w:eastAsia="Times New Roman" w:hAnsi="Tahoma" w:cs="Times New Roman"/>
      <w:b/>
      <w:bCs/>
      <w:color w:val="000000"/>
      <w:sz w:val="24"/>
      <w:szCs w:val="28"/>
      <w:lang w:val="x-none" w:eastAsia="x-none" w:bidi="fa-IR"/>
    </w:rPr>
  </w:style>
  <w:style w:type="character" w:customStyle="1" w:styleId="Charf">
    <w:name w:val="عنوان اصلی Char"/>
    <w:link w:val="af1"/>
    <w:rsid w:val="00CF69B3"/>
    <w:rPr>
      <w:rFonts w:ascii="Arial" w:eastAsia="Times New Roman" w:hAnsi="Arial" w:cs="Times New Roman"/>
      <w:b/>
      <w:bCs/>
      <w:color w:val="000099"/>
      <w:sz w:val="26"/>
      <w:szCs w:val="28"/>
      <w:lang w:val="x-none" w:eastAsia="x-none" w:bidi="fa-IR"/>
    </w:rPr>
  </w:style>
  <w:style w:type="character" w:customStyle="1" w:styleId="name">
    <w:name w:val="name"/>
    <w:basedOn w:val="DefaultParagraphFont"/>
    <w:rsid w:val="00CF69B3"/>
  </w:style>
  <w:style w:type="character" w:customStyle="1" w:styleId="abstracttitle">
    <w:name w:val="abstract_title"/>
    <w:basedOn w:val="DefaultParagraphFont"/>
    <w:rsid w:val="00CF69B3"/>
  </w:style>
  <w:style w:type="character" w:customStyle="1" w:styleId="UnresolvedMention2">
    <w:name w:val="Unresolved Mention2"/>
    <w:basedOn w:val="DefaultParagraphFont"/>
    <w:uiPriority w:val="99"/>
    <w:semiHidden/>
    <w:unhideWhenUsed/>
    <w:rsid w:val="00CF69B3"/>
    <w:rPr>
      <w:color w:val="605E5C"/>
      <w:shd w:val="clear" w:color="auto" w:fill="E1DFDD"/>
    </w:rPr>
  </w:style>
  <w:style w:type="numbering" w:customStyle="1" w:styleId="NoList2">
    <w:name w:val="No List2"/>
    <w:next w:val="NoList"/>
    <w:uiPriority w:val="99"/>
    <w:semiHidden/>
    <w:rsid w:val="00CF69B3"/>
  </w:style>
  <w:style w:type="table" w:customStyle="1" w:styleId="TableGrid2">
    <w:name w:val="Table Grid2"/>
    <w:basedOn w:val="TableNormal"/>
    <w:next w:val="TableGrid"/>
    <w:uiPriority w:val="59"/>
    <w:rsid w:val="00CF69B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2">
    <w:name w:val="Style2"/>
    <w:basedOn w:val="Normal"/>
    <w:link w:val="Style2Char"/>
    <w:qFormat/>
    <w:rsid w:val="00CF69B3"/>
    <w:pPr>
      <w:bidi/>
      <w:spacing w:line="240" w:lineRule="auto"/>
      <w:jc w:val="right"/>
    </w:pPr>
    <w:rPr>
      <w:rFonts w:ascii="B Lotus" w:hAnsi="B Lotus" w:cs="B Zar"/>
      <w:noProof/>
    </w:rPr>
  </w:style>
  <w:style w:type="character" w:customStyle="1" w:styleId="Style2Char">
    <w:name w:val="Style2 Char"/>
    <w:basedOn w:val="DefaultParagraphFont"/>
    <w:link w:val="Style2"/>
    <w:rsid w:val="00CF69B3"/>
    <w:rPr>
      <w:rFonts w:ascii="B Lotus" w:hAnsi="B Lotus" w:cs="B Zar"/>
      <w:noProof/>
    </w:rPr>
  </w:style>
  <w:style w:type="character" w:customStyle="1" w:styleId="UnresolvedMention">
    <w:name w:val="Unresolved Mention"/>
    <w:basedOn w:val="DefaultParagraphFont"/>
    <w:uiPriority w:val="99"/>
    <w:semiHidden/>
    <w:unhideWhenUsed/>
    <w:rsid w:val="00CF69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739923">
      <w:bodyDiv w:val="1"/>
      <w:marLeft w:val="0"/>
      <w:marRight w:val="0"/>
      <w:marTop w:val="0"/>
      <w:marBottom w:val="0"/>
      <w:divBdr>
        <w:top w:val="none" w:sz="0" w:space="0" w:color="auto"/>
        <w:left w:val="none" w:sz="0" w:space="0" w:color="auto"/>
        <w:bottom w:val="none" w:sz="0" w:space="0" w:color="auto"/>
        <w:right w:val="none" w:sz="0" w:space="0" w:color="auto"/>
      </w:divBdr>
    </w:div>
    <w:div w:id="375353747">
      <w:bodyDiv w:val="1"/>
      <w:marLeft w:val="0"/>
      <w:marRight w:val="0"/>
      <w:marTop w:val="0"/>
      <w:marBottom w:val="0"/>
      <w:divBdr>
        <w:top w:val="none" w:sz="0" w:space="0" w:color="auto"/>
        <w:left w:val="none" w:sz="0" w:space="0" w:color="auto"/>
        <w:bottom w:val="none" w:sz="0" w:space="0" w:color="auto"/>
        <w:right w:val="none" w:sz="0" w:space="0" w:color="auto"/>
      </w:divBdr>
    </w:div>
    <w:div w:id="412632185">
      <w:bodyDiv w:val="1"/>
      <w:marLeft w:val="0"/>
      <w:marRight w:val="0"/>
      <w:marTop w:val="0"/>
      <w:marBottom w:val="0"/>
      <w:divBdr>
        <w:top w:val="none" w:sz="0" w:space="0" w:color="auto"/>
        <w:left w:val="none" w:sz="0" w:space="0" w:color="auto"/>
        <w:bottom w:val="none" w:sz="0" w:space="0" w:color="auto"/>
        <w:right w:val="none" w:sz="0" w:space="0" w:color="auto"/>
      </w:divBdr>
    </w:div>
    <w:div w:id="851990178">
      <w:bodyDiv w:val="1"/>
      <w:marLeft w:val="0"/>
      <w:marRight w:val="0"/>
      <w:marTop w:val="0"/>
      <w:marBottom w:val="0"/>
      <w:divBdr>
        <w:top w:val="none" w:sz="0" w:space="0" w:color="auto"/>
        <w:left w:val="none" w:sz="0" w:space="0" w:color="auto"/>
        <w:bottom w:val="none" w:sz="0" w:space="0" w:color="auto"/>
        <w:right w:val="none" w:sz="0" w:space="0" w:color="auto"/>
      </w:divBdr>
    </w:div>
    <w:div w:id="2045210751">
      <w:bodyDiv w:val="1"/>
      <w:marLeft w:val="0"/>
      <w:marRight w:val="0"/>
      <w:marTop w:val="0"/>
      <w:marBottom w:val="0"/>
      <w:divBdr>
        <w:top w:val="none" w:sz="0" w:space="0" w:color="auto"/>
        <w:left w:val="none" w:sz="0" w:space="0" w:color="auto"/>
        <w:bottom w:val="none" w:sz="0" w:space="0" w:color="auto"/>
        <w:right w:val="none" w:sz="0" w:space="0" w:color="auto"/>
      </w:divBdr>
    </w:div>
    <w:div w:id="2083867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www.paradisep30.ir\Desktop\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0.25184122355433625"/>
          <c:w val="0.92090116445670001"/>
          <c:h val="0.72385061242344706"/>
        </c:manualLayout>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FF3399"/>
              </a:solidFill>
              <a:ln>
                <a:noFill/>
              </a:ln>
              <a:effectLst/>
            </c:spPr>
            <c:extLst>
              <c:ext xmlns:c16="http://schemas.microsoft.com/office/drawing/2014/chart" uri="{C3380CC4-5D6E-409C-BE32-E72D297353CC}">
                <c16:uniqueId val="{00000001-2E7A-40AB-9229-2014882E147D}"/>
              </c:ext>
            </c:extLst>
          </c:dPt>
          <c:dPt>
            <c:idx val="1"/>
            <c:invertIfNegative val="0"/>
            <c:bubble3D val="0"/>
            <c:spPr>
              <a:solidFill>
                <a:srgbClr val="FF0000"/>
              </a:solidFill>
              <a:ln>
                <a:noFill/>
              </a:ln>
              <a:effectLst/>
            </c:spPr>
            <c:extLst>
              <c:ext xmlns:c16="http://schemas.microsoft.com/office/drawing/2014/chart" uri="{C3380CC4-5D6E-409C-BE32-E72D297353CC}">
                <c16:uniqueId val="{00000003-2E7A-40AB-9229-2014882E147D}"/>
              </c:ext>
            </c:extLst>
          </c:dPt>
          <c:dPt>
            <c:idx val="2"/>
            <c:invertIfNegative val="0"/>
            <c:bubble3D val="0"/>
            <c:spPr>
              <a:solidFill>
                <a:srgbClr val="FFC000"/>
              </a:solidFill>
              <a:ln>
                <a:noFill/>
              </a:ln>
              <a:effectLst/>
            </c:spPr>
            <c:extLst>
              <c:ext xmlns:c16="http://schemas.microsoft.com/office/drawing/2014/chart" uri="{C3380CC4-5D6E-409C-BE32-E72D297353CC}">
                <c16:uniqueId val="{00000005-2E7A-40AB-9229-2014882E147D}"/>
              </c:ext>
            </c:extLst>
          </c:dPt>
          <c:dPt>
            <c:idx val="3"/>
            <c:invertIfNegative val="0"/>
            <c:bubble3D val="0"/>
            <c:spPr>
              <a:solidFill>
                <a:srgbClr val="FFFF00"/>
              </a:solidFill>
              <a:ln>
                <a:noFill/>
              </a:ln>
              <a:effectLst/>
            </c:spPr>
            <c:extLst>
              <c:ext xmlns:c16="http://schemas.microsoft.com/office/drawing/2014/chart" uri="{C3380CC4-5D6E-409C-BE32-E72D297353CC}">
                <c16:uniqueId val="{00000007-2E7A-40AB-9229-2014882E147D}"/>
              </c:ext>
            </c:extLst>
          </c:dPt>
          <c:errBars>
            <c:errBarType val="both"/>
            <c:errValType val="stdErr"/>
            <c:noEndCap val="0"/>
            <c:spPr>
              <a:noFill/>
              <a:ln w="9525" cap="flat" cmpd="sng" algn="ctr">
                <a:solidFill>
                  <a:srgbClr val="000000"/>
                </a:solidFill>
                <a:round/>
              </a:ln>
              <a:effectLst/>
            </c:spPr>
          </c:errBars>
          <c:cat>
            <c:strRef>
              <c:f>Sheet1!$B$49:$E$49</c:f>
              <c:strCache>
                <c:ptCount val="4"/>
                <c:pt idx="0">
                  <c:v>کنترل</c:v>
                </c:pt>
                <c:pt idx="1">
                  <c:v>درمان 1</c:v>
                </c:pt>
                <c:pt idx="2">
                  <c:v>سالخورده</c:v>
                </c:pt>
                <c:pt idx="3">
                  <c:v>درمان 2</c:v>
                </c:pt>
              </c:strCache>
            </c:strRef>
          </c:cat>
          <c:val>
            <c:numRef>
              <c:f>Sheet1!$B$50:$E$50</c:f>
              <c:numCache>
                <c:formatCode>General</c:formatCode>
                <c:ptCount val="4"/>
                <c:pt idx="0">
                  <c:v>1</c:v>
                </c:pt>
                <c:pt idx="1">
                  <c:v>1.5</c:v>
                </c:pt>
                <c:pt idx="2">
                  <c:v>0.2</c:v>
                </c:pt>
                <c:pt idx="3">
                  <c:v>1</c:v>
                </c:pt>
              </c:numCache>
            </c:numRef>
          </c:val>
          <c:extLst>
            <c:ext xmlns:c16="http://schemas.microsoft.com/office/drawing/2014/chart" uri="{C3380CC4-5D6E-409C-BE32-E72D297353CC}">
              <c16:uniqueId val="{00000008-2E7A-40AB-9229-2014882E147D}"/>
            </c:ext>
          </c:extLst>
        </c:ser>
        <c:dLbls>
          <c:showLegendKey val="0"/>
          <c:showVal val="0"/>
          <c:showCatName val="0"/>
          <c:showSerName val="0"/>
          <c:showPercent val="0"/>
          <c:showBubbleSize val="0"/>
        </c:dLbls>
        <c:gapWidth val="219"/>
        <c:overlap val="-27"/>
        <c:axId val="1847749632"/>
        <c:axId val="1852501648"/>
      </c:barChart>
      <c:catAx>
        <c:axId val="1847749632"/>
        <c:scaling>
          <c:orientation val="maxMin"/>
        </c:scaling>
        <c:delete val="0"/>
        <c:axPos val="b"/>
        <c:numFmt formatCode="General" sourceLinked="1"/>
        <c:majorTickMark val="none"/>
        <c:minorTickMark val="none"/>
        <c:tickLblPos val="nextTo"/>
        <c:spPr>
          <a:noFill/>
          <a:ln w="9525" cap="flat" cmpd="sng" algn="ctr">
            <a:solidFill>
              <a:srgbClr val="000000"/>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B Zar" panose="00000400000000000000" pitchFamily="2" charset="-78"/>
              </a:defRPr>
            </a:pPr>
            <a:endParaRPr lang="en-US"/>
          </a:p>
        </c:txPr>
        <c:crossAx val="1852501648"/>
        <c:crosses val="autoZero"/>
        <c:auto val="1"/>
        <c:lblAlgn val="ctr"/>
        <c:lblOffset val="100"/>
        <c:noMultiLvlLbl val="0"/>
      </c:catAx>
      <c:valAx>
        <c:axId val="1852501648"/>
        <c:scaling>
          <c:orientation val="minMax"/>
        </c:scaling>
        <c:delete val="0"/>
        <c:axPos val="r"/>
        <c:numFmt formatCode="General" sourceLinked="1"/>
        <c:majorTickMark val="none"/>
        <c:minorTickMark val="none"/>
        <c:tickLblPos val="nextTo"/>
        <c:spPr>
          <a:noFill/>
          <a:ln>
            <a:solidFill>
              <a:srgbClr val="000000"/>
            </a:solid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8477496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AFFE3-C947-40DF-BCD8-318C3C19D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12</Pages>
  <Words>8439</Words>
  <Characters>48104</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win10</cp:lastModifiedBy>
  <cp:revision>67</cp:revision>
  <dcterms:created xsi:type="dcterms:W3CDTF">2020-08-06T10:21:00Z</dcterms:created>
  <dcterms:modified xsi:type="dcterms:W3CDTF">2025-11-23T19:19:00Z</dcterms:modified>
</cp:coreProperties>
</file>